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line="555" w:lineRule="atLeast"/>
        <w:ind w:left="0" w:firstLine="645"/>
        <w:jc w:val="center"/>
        <w:rPr>
          <w:rFonts w:hint="eastAsia" w:ascii="方正小标宋_GBK" w:hAnsi="方正小标宋_GBK" w:eastAsia="方正小标宋_GBK" w:cs="方正小标宋_GBK"/>
          <w:i w:val="0"/>
          <w:iCs w:val="0"/>
          <w:caps w:val="0"/>
          <w:color w:val="000000"/>
          <w:spacing w:val="0"/>
          <w:sz w:val="36"/>
          <w:szCs w:val="36"/>
          <w:lang w:eastAsia="zh-CN"/>
        </w:rPr>
      </w:pPr>
      <w:r>
        <w:rPr>
          <w:rFonts w:hint="eastAsia" w:ascii="方正小标宋_GBK" w:hAnsi="方正小标宋_GBK" w:eastAsia="方正小标宋_GBK" w:cs="方正小标宋_GBK"/>
          <w:i w:val="0"/>
          <w:iCs w:val="0"/>
          <w:caps w:val="0"/>
          <w:color w:val="000000"/>
          <w:spacing w:val="0"/>
          <w:sz w:val="36"/>
          <w:szCs w:val="36"/>
          <w:shd w:val="clear" w:fill="FFFFFF"/>
          <w:lang w:eastAsia="zh-CN"/>
        </w:rPr>
        <w:t>专业</w:t>
      </w:r>
      <w:r>
        <w:rPr>
          <w:rFonts w:hint="eastAsia" w:ascii="方正小标宋_GBK" w:hAnsi="方正小标宋_GBK" w:eastAsia="方正小标宋_GBK" w:cs="方正小标宋_GBK"/>
          <w:i w:val="0"/>
          <w:iCs w:val="0"/>
          <w:caps w:val="0"/>
          <w:color w:val="000000"/>
          <w:spacing w:val="0"/>
          <w:sz w:val="36"/>
          <w:szCs w:val="36"/>
          <w:shd w:val="clear" w:fill="FFFFFF"/>
        </w:rPr>
        <w:t>自评报告撰写</w:t>
      </w:r>
      <w:r>
        <w:rPr>
          <w:rFonts w:hint="eastAsia" w:ascii="方正小标宋_GBK" w:hAnsi="方正小标宋_GBK" w:eastAsia="方正小标宋_GBK" w:cs="方正小标宋_GBK"/>
          <w:i w:val="0"/>
          <w:iCs w:val="0"/>
          <w:caps w:val="0"/>
          <w:color w:val="000000"/>
          <w:spacing w:val="0"/>
          <w:sz w:val="36"/>
          <w:szCs w:val="36"/>
          <w:shd w:val="clear" w:fill="FFFFFF"/>
          <w:lang w:eastAsia="zh-CN"/>
        </w:rPr>
        <w:t>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一、</w:t>
      </w:r>
      <w:r>
        <w:rPr>
          <w:rFonts w:hint="eastAsia" w:ascii="仿宋_GB2312" w:hAnsi="仿宋_GB2312" w:eastAsia="仿宋_GB2312" w:cs="仿宋_GB2312"/>
          <w:i w:val="0"/>
          <w:iCs w:val="0"/>
          <w:caps w:val="0"/>
          <w:color w:val="000000"/>
          <w:spacing w:val="0"/>
          <w:sz w:val="32"/>
          <w:szCs w:val="32"/>
          <w:shd w:val="clear" w:fill="FFFFFF"/>
        </w:rPr>
        <w:t>主要内容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请</w:t>
      </w:r>
      <w:r>
        <w:rPr>
          <w:rFonts w:hint="eastAsia" w:ascii="仿宋_GB2312" w:hAnsi="仿宋_GB2312" w:eastAsia="仿宋_GB2312" w:cs="仿宋_GB2312"/>
          <w:i w:val="0"/>
          <w:iCs w:val="0"/>
          <w:caps w:val="0"/>
          <w:color w:val="000000"/>
          <w:spacing w:val="0"/>
          <w:sz w:val="32"/>
          <w:szCs w:val="32"/>
          <w:shd w:val="clear" w:fill="FFFFFF"/>
          <w:lang w:eastAsia="zh-CN"/>
        </w:rPr>
        <w:t>各专业</w:t>
      </w:r>
      <w:r>
        <w:rPr>
          <w:rFonts w:hint="eastAsia" w:ascii="仿宋_GB2312" w:hAnsi="仿宋_GB2312" w:eastAsia="仿宋_GB2312" w:cs="仿宋_GB2312"/>
          <w:i w:val="0"/>
          <w:iCs w:val="0"/>
          <w:caps w:val="0"/>
          <w:color w:val="000000"/>
          <w:spacing w:val="0"/>
          <w:sz w:val="32"/>
          <w:szCs w:val="32"/>
          <w:shd w:val="clear" w:fill="FFFFFF"/>
        </w:rPr>
        <w:t>围绕审核评估审核重点（三级指标）逐项开展自我评估，深入分析本</w:t>
      </w:r>
      <w:r>
        <w:rPr>
          <w:rFonts w:hint="eastAsia" w:ascii="仿宋_GB2312" w:hAnsi="仿宋_GB2312" w:eastAsia="仿宋_GB2312" w:cs="仿宋_GB2312"/>
          <w:i w:val="0"/>
          <w:iCs w:val="0"/>
          <w:caps w:val="0"/>
          <w:color w:val="000000"/>
          <w:spacing w:val="0"/>
          <w:sz w:val="32"/>
          <w:szCs w:val="32"/>
          <w:shd w:val="clear" w:fill="FFFFFF"/>
          <w:lang w:eastAsia="zh-CN"/>
        </w:rPr>
        <w:t>专业</w:t>
      </w:r>
      <w:r>
        <w:rPr>
          <w:rFonts w:hint="eastAsia" w:ascii="仿宋_GB2312" w:hAnsi="仿宋_GB2312" w:eastAsia="仿宋_GB2312" w:cs="仿宋_GB2312"/>
          <w:i w:val="0"/>
          <w:iCs w:val="0"/>
          <w:caps w:val="0"/>
          <w:color w:val="000000"/>
          <w:spacing w:val="0"/>
          <w:sz w:val="32"/>
          <w:szCs w:val="32"/>
          <w:shd w:val="clear" w:fill="FFFFFF"/>
          <w:lang w:val="en-US" w:eastAsia="zh-CN"/>
        </w:rPr>
        <w:t>2020年</w:t>
      </w:r>
      <w:r>
        <w:rPr>
          <w:rFonts w:hint="eastAsia" w:ascii="仿宋_GB2312" w:hAnsi="仿宋_GB2312" w:eastAsia="仿宋_GB2312" w:cs="仿宋_GB2312"/>
          <w:i w:val="0"/>
          <w:iCs w:val="0"/>
          <w:caps w:val="0"/>
          <w:color w:val="000000"/>
          <w:spacing w:val="0"/>
          <w:sz w:val="32"/>
          <w:szCs w:val="32"/>
          <w:shd w:val="clear" w:fill="FFFFFF"/>
        </w:rPr>
        <w:t>以来有关工作规划、思路、举措和实施效果，提炼工作亮点和特色，准确查找存在的问题和薄弱环节，并针对性地制定整改目标和整改措施。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二、</w:t>
      </w:r>
      <w:r>
        <w:rPr>
          <w:rFonts w:hint="eastAsia" w:ascii="仿宋_GB2312" w:hAnsi="仿宋_GB2312" w:eastAsia="仿宋_GB2312" w:cs="仿宋_GB2312"/>
          <w:i w:val="0"/>
          <w:iCs w:val="0"/>
          <w:caps w:val="0"/>
          <w:color w:val="000000"/>
          <w:spacing w:val="0"/>
          <w:sz w:val="32"/>
          <w:szCs w:val="32"/>
          <w:shd w:val="clear" w:fill="FFFFFF"/>
        </w:rPr>
        <w:t>工作要求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1. </w:t>
      </w:r>
      <w:r>
        <w:rPr>
          <w:rFonts w:hint="eastAsia" w:ascii="仿宋_GB2312" w:hAnsi="仿宋_GB2312" w:eastAsia="仿宋_GB2312" w:cs="仿宋_GB2312"/>
          <w:i w:val="0"/>
          <w:iCs w:val="0"/>
          <w:caps w:val="0"/>
          <w:color w:val="000000"/>
          <w:spacing w:val="0"/>
          <w:sz w:val="32"/>
          <w:szCs w:val="32"/>
          <w:shd w:val="clear" w:fill="FFFFFF"/>
        </w:rPr>
        <w:t>各</w:t>
      </w:r>
      <w:r>
        <w:rPr>
          <w:rFonts w:hint="eastAsia" w:ascii="仿宋_GB2312" w:hAnsi="仿宋_GB2312" w:eastAsia="仿宋_GB2312" w:cs="仿宋_GB2312"/>
          <w:i w:val="0"/>
          <w:iCs w:val="0"/>
          <w:caps w:val="0"/>
          <w:color w:val="000000"/>
          <w:spacing w:val="0"/>
          <w:sz w:val="32"/>
          <w:szCs w:val="32"/>
          <w:shd w:val="clear" w:fill="FFFFFF"/>
          <w:lang w:eastAsia="zh-CN"/>
        </w:rPr>
        <w:t>学院、各专业</w:t>
      </w:r>
      <w:r>
        <w:rPr>
          <w:rFonts w:hint="eastAsia" w:ascii="仿宋_GB2312" w:hAnsi="仿宋_GB2312" w:eastAsia="仿宋_GB2312" w:cs="仿宋_GB2312"/>
          <w:i w:val="0"/>
          <w:iCs w:val="0"/>
          <w:caps w:val="0"/>
          <w:color w:val="000000"/>
          <w:spacing w:val="0"/>
          <w:sz w:val="32"/>
          <w:szCs w:val="32"/>
          <w:shd w:val="clear" w:fill="FFFFFF"/>
        </w:rPr>
        <w:t>要通过自评报告撰写工作，全面开展自查、自建、自评、自纠工作，做到以评促建、以评促改、以评促管、以评促强。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2. </w:t>
      </w:r>
      <w:r>
        <w:rPr>
          <w:rFonts w:hint="eastAsia" w:ascii="仿宋_GB2312" w:hAnsi="仿宋_GB2312" w:eastAsia="仿宋_GB2312" w:cs="仿宋_GB2312"/>
          <w:i w:val="0"/>
          <w:iCs w:val="0"/>
          <w:caps w:val="0"/>
          <w:color w:val="000000"/>
          <w:spacing w:val="0"/>
          <w:sz w:val="32"/>
          <w:szCs w:val="32"/>
          <w:shd w:val="clear" w:fill="FFFFFF"/>
        </w:rPr>
        <w:t>自评报告是对学校本科教育教学工作的全面总结，是评估专家对学校开展审核评估的主要依据之一，各</w:t>
      </w:r>
      <w:r>
        <w:rPr>
          <w:rFonts w:hint="eastAsia" w:ascii="仿宋_GB2312" w:hAnsi="仿宋_GB2312" w:eastAsia="仿宋_GB2312" w:cs="仿宋_GB2312"/>
          <w:i w:val="0"/>
          <w:iCs w:val="0"/>
          <w:caps w:val="0"/>
          <w:color w:val="000000"/>
          <w:spacing w:val="0"/>
          <w:sz w:val="32"/>
          <w:szCs w:val="32"/>
          <w:shd w:val="clear" w:fill="FFFFFF"/>
          <w:lang w:eastAsia="zh-CN"/>
        </w:rPr>
        <w:t>学院、各专业</w:t>
      </w:r>
      <w:r>
        <w:rPr>
          <w:rFonts w:hint="eastAsia" w:ascii="仿宋_GB2312" w:hAnsi="仿宋_GB2312" w:eastAsia="仿宋_GB2312" w:cs="仿宋_GB2312"/>
          <w:i w:val="0"/>
          <w:iCs w:val="0"/>
          <w:caps w:val="0"/>
          <w:color w:val="000000"/>
          <w:spacing w:val="0"/>
          <w:sz w:val="32"/>
          <w:szCs w:val="32"/>
          <w:shd w:val="clear" w:fill="FFFFFF"/>
        </w:rPr>
        <w:t>要高度重视自评报告撰写工作，根据任务分工逐一对照梳理审核重点（三级指标）自评情况，认真研究和总结凝练。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3. </w:t>
      </w:r>
      <w:r>
        <w:rPr>
          <w:rFonts w:hint="eastAsia" w:ascii="仿宋_GB2312" w:hAnsi="仿宋_GB2312" w:eastAsia="仿宋_GB2312" w:cs="仿宋_GB2312"/>
          <w:i w:val="0"/>
          <w:iCs w:val="0"/>
          <w:caps w:val="0"/>
          <w:color w:val="000000"/>
          <w:spacing w:val="0"/>
          <w:sz w:val="32"/>
          <w:szCs w:val="32"/>
          <w:shd w:val="clear" w:fill="FFFFFF"/>
        </w:rPr>
        <w:t>自评报告应按照写作提纲撰写。撰写时应注意：一是要围绕审核重点（三级指标），认真阐述本单位是</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怎么说的</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怎么做的</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（工作举措）、</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做得怎么样</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（取得的效果）、</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做的不好的如何改进</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改进效果如何</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等；二是理念到位，优势要找准，特色亮点要突出，要有事实做支撑，问题分析要写透，改进措施要可行；</w:t>
      </w:r>
      <w:r>
        <w:rPr>
          <w:rFonts w:hint="eastAsia" w:ascii="仿宋_GB2312" w:hAnsi="仿宋_GB2312" w:eastAsia="仿宋_GB2312" w:cs="仿宋_GB2312"/>
          <w:i w:val="0"/>
          <w:iCs w:val="0"/>
          <w:caps w:val="0"/>
          <w:color w:val="000000"/>
          <w:spacing w:val="0"/>
          <w:sz w:val="32"/>
          <w:szCs w:val="32"/>
          <w:shd w:val="clear" w:fill="FFFFFF"/>
          <w:lang w:eastAsia="zh-CN"/>
        </w:rPr>
        <w:t>三</w:t>
      </w:r>
      <w:r>
        <w:rPr>
          <w:rFonts w:hint="eastAsia" w:ascii="仿宋_GB2312" w:hAnsi="仿宋_GB2312" w:eastAsia="仿宋_GB2312" w:cs="仿宋_GB2312"/>
          <w:i w:val="0"/>
          <w:iCs w:val="0"/>
          <w:caps w:val="0"/>
          <w:color w:val="000000"/>
          <w:spacing w:val="0"/>
          <w:sz w:val="32"/>
          <w:szCs w:val="32"/>
          <w:shd w:val="clear" w:fill="FFFFFF"/>
        </w:rPr>
        <w:t>是问题、原因及改进措施不得少于本单位篇幅</w:t>
      </w:r>
      <w:r>
        <w:rPr>
          <w:rFonts w:hint="eastAsia" w:ascii="仿宋_GB2312" w:hAnsi="仿宋_GB2312" w:eastAsia="仿宋_GB2312" w:cs="仿宋_GB2312"/>
          <w:i w:val="0"/>
          <w:iCs w:val="0"/>
          <w:caps w:val="0"/>
          <w:color w:val="000000"/>
          <w:spacing w:val="0"/>
          <w:sz w:val="32"/>
          <w:szCs w:val="32"/>
          <w:shd w:val="clear" w:fill="FFFFFF"/>
          <w:lang w:val="en-US"/>
        </w:rPr>
        <w:t>1/3</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四</w:t>
      </w:r>
      <w:r>
        <w:rPr>
          <w:rFonts w:hint="eastAsia" w:ascii="仿宋_GB2312" w:hAnsi="仿宋_GB2312" w:eastAsia="仿宋_GB2312" w:cs="仿宋_GB2312"/>
          <w:i w:val="0"/>
          <w:iCs w:val="0"/>
          <w:caps w:val="0"/>
          <w:color w:val="000000"/>
          <w:spacing w:val="0"/>
          <w:sz w:val="32"/>
          <w:szCs w:val="32"/>
          <w:shd w:val="clear" w:fill="FFFFFF"/>
        </w:rPr>
        <w:t>是撰写的材料应逻辑清晰、文稿通顺、数据准确。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4. </w:t>
      </w:r>
      <w:r>
        <w:rPr>
          <w:rFonts w:hint="eastAsia" w:ascii="仿宋_GB2312" w:hAnsi="仿宋_GB2312" w:eastAsia="仿宋_GB2312" w:cs="仿宋_GB2312"/>
          <w:i w:val="0"/>
          <w:iCs w:val="0"/>
          <w:caps w:val="0"/>
          <w:color w:val="000000"/>
          <w:spacing w:val="0"/>
          <w:sz w:val="32"/>
          <w:szCs w:val="32"/>
          <w:shd w:val="clear" w:fill="FFFFFF"/>
        </w:rPr>
        <w:t>自评报告每个审核重点（三级指标）都要有事实和数据作为支撑。相关数据应是</w:t>
      </w:r>
      <w:r>
        <w:rPr>
          <w:rFonts w:hint="eastAsia" w:ascii="仿宋_GB2312" w:hAnsi="仿宋_GB2312" w:eastAsia="仿宋_GB2312" w:cs="仿宋_GB2312"/>
          <w:i w:val="0"/>
          <w:iCs w:val="0"/>
          <w:caps w:val="0"/>
          <w:color w:val="000000"/>
          <w:spacing w:val="0"/>
          <w:sz w:val="32"/>
          <w:szCs w:val="32"/>
          <w:shd w:val="clear" w:fill="FFFFFF"/>
          <w:lang w:val="en-US" w:eastAsia="zh-CN"/>
        </w:rPr>
        <w:t>2020</w:t>
      </w:r>
      <w:r>
        <w:rPr>
          <w:rFonts w:hint="eastAsia" w:ascii="仿宋_GB2312" w:hAnsi="仿宋_GB2312" w:eastAsia="仿宋_GB2312" w:cs="仿宋_GB2312"/>
          <w:i w:val="0"/>
          <w:iCs w:val="0"/>
          <w:caps w:val="0"/>
          <w:color w:val="000000"/>
          <w:spacing w:val="0"/>
          <w:sz w:val="32"/>
          <w:szCs w:val="32"/>
          <w:shd w:val="clear" w:fill="FFFFFF"/>
        </w:rPr>
        <w:t>年以来反映</w:t>
      </w:r>
      <w:r>
        <w:rPr>
          <w:rFonts w:hint="eastAsia" w:ascii="仿宋_GB2312" w:hAnsi="仿宋_GB2312" w:eastAsia="仿宋_GB2312" w:cs="仿宋_GB2312"/>
          <w:i w:val="0"/>
          <w:iCs w:val="0"/>
          <w:caps w:val="0"/>
          <w:color w:val="000000"/>
          <w:spacing w:val="0"/>
          <w:sz w:val="32"/>
          <w:szCs w:val="32"/>
          <w:shd w:val="clear" w:fill="FFFFFF"/>
          <w:lang w:eastAsia="zh-CN"/>
        </w:rPr>
        <w:t>专业</w:t>
      </w:r>
      <w:r>
        <w:rPr>
          <w:rFonts w:hint="eastAsia" w:ascii="仿宋_GB2312" w:hAnsi="仿宋_GB2312" w:eastAsia="仿宋_GB2312" w:cs="仿宋_GB2312"/>
          <w:i w:val="0"/>
          <w:iCs w:val="0"/>
          <w:caps w:val="0"/>
          <w:color w:val="000000"/>
          <w:spacing w:val="0"/>
          <w:sz w:val="32"/>
          <w:szCs w:val="32"/>
          <w:shd w:val="clear" w:fill="FFFFFF"/>
        </w:rPr>
        <w:t>工作特色、水平的数据，要有必要的数据分析和陈述。相关数据应与高等教育监测国家数据平台所填报的数据一致，如数据不一致，应提供情况说明。其中，核心数据应达到《普通高等学校本科教育教学工作审核评估实施方案（</w:t>
      </w:r>
      <w:r>
        <w:rPr>
          <w:rFonts w:hint="eastAsia" w:ascii="仿宋_GB2312" w:hAnsi="仿宋_GB2312" w:eastAsia="仿宋_GB2312" w:cs="仿宋_GB2312"/>
          <w:i w:val="0"/>
          <w:iCs w:val="0"/>
          <w:caps w:val="0"/>
          <w:color w:val="000000"/>
          <w:spacing w:val="0"/>
          <w:sz w:val="32"/>
          <w:szCs w:val="32"/>
          <w:shd w:val="clear" w:fill="FFFFFF"/>
          <w:lang w:val="en-US"/>
        </w:rPr>
        <w:t>2021-2025</w:t>
      </w:r>
      <w:r>
        <w:rPr>
          <w:rFonts w:hint="eastAsia" w:ascii="仿宋_GB2312" w:hAnsi="仿宋_GB2312" w:eastAsia="仿宋_GB2312" w:cs="仿宋_GB2312"/>
          <w:i w:val="0"/>
          <w:iCs w:val="0"/>
          <w:caps w:val="0"/>
          <w:color w:val="000000"/>
          <w:spacing w:val="0"/>
          <w:sz w:val="32"/>
          <w:szCs w:val="32"/>
          <w:shd w:val="clear" w:fill="FFFFFF"/>
        </w:rPr>
        <w:t>年）》及相关文件规定要求。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三、 </w:t>
      </w:r>
      <w:r>
        <w:rPr>
          <w:rFonts w:hint="eastAsia" w:ascii="仿宋_GB2312" w:hAnsi="仿宋_GB2312" w:eastAsia="仿宋_GB2312" w:cs="仿宋_GB2312"/>
          <w:i w:val="0"/>
          <w:iCs w:val="0"/>
          <w:caps w:val="0"/>
          <w:color w:val="000000"/>
          <w:spacing w:val="0"/>
          <w:sz w:val="32"/>
          <w:szCs w:val="32"/>
          <w:shd w:val="clear" w:fill="FFFFFF"/>
        </w:rPr>
        <w:t>支撑材料要求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1. </w:t>
      </w:r>
      <w:r>
        <w:rPr>
          <w:rFonts w:hint="eastAsia" w:ascii="仿宋_GB2312" w:hAnsi="仿宋_GB2312" w:eastAsia="仿宋_GB2312" w:cs="仿宋_GB2312"/>
          <w:i w:val="0"/>
          <w:iCs w:val="0"/>
          <w:caps w:val="0"/>
          <w:color w:val="000000"/>
          <w:spacing w:val="0"/>
          <w:sz w:val="32"/>
          <w:szCs w:val="32"/>
          <w:shd w:val="clear" w:fill="FFFFFF"/>
        </w:rPr>
        <w:t>各相关单位要按照审核评估二级指标提供支撑自评报告撰写内容的相关材料，包括：管理文件、教学资料、各类记录性材料、合作协议及其他佐证材料等。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2. </w:t>
      </w:r>
      <w:r>
        <w:rPr>
          <w:rFonts w:hint="eastAsia" w:ascii="仿宋_GB2312" w:hAnsi="仿宋_GB2312" w:eastAsia="仿宋_GB2312" w:cs="仿宋_GB2312"/>
          <w:i w:val="0"/>
          <w:iCs w:val="0"/>
          <w:caps w:val="0"/>
          <w:color w:val="000000"/>
          <w:spacing w:val="0"/>
          <w:sz w:val="32"/>
          <w:szCs w:val="32"/>
          <w:shd w:val="clear" w:fill="FFFFFF"/>
        </w:rPr>
        <w:t>支撑材料要精准、客观，包括但不限于文字、数字、图表、音像资料、图片和证书等形式，例如文件、通知、材料汇编、新闻报道、获奖证书扫描件、出版或获奖教材封面扫描件、网站链接、活动图片及照片、支撑数据明细表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i w:val="0"/>
          <w:iCs w:val="0"/>
          <w:caps w:val="0"/>
          <w:color w:val="000000"/>
          <w:spacing w:val="0"/>
          <w:sz w:val="32"/>
          <w:szCs w:val="32"/>
          <w:highlight w:val="yellow"/>
          <w:shd w:val="clear" w:fill="FFFFFF"/>
        </w:rPr>
      </w:pPr>
      <w:r>
        <w:rPr>
          <w:rFonts w:hint="eastAsia" w:ascii="仿宋_GB2312" w:hAnsi="仿宋_GB2312" w:eastAsia="仿宋_GB2312" w:cs="仿宋_GB2312"/>
          <w:i w:val="0"/>
          <w:iCs w:val="0"/>
          <w:caps w:val="0"/>
          <w:color w:val="000000"/>
          <w:spacing w:val="0"/>
          <w:sz w:val="32"/>
          <w:szCs w:val="32"/>
          <w:highlight w:val="yellow"/>
          <w:shd w:val="clear" w:fill="FFFFFF"/>
          <w:lang w:val="en-US"/>
        </w:rPr>
        <w:t>3. </w:t>
      </w:r>
      <w:r>
        <w:rPr>
          <w:rFonts w:hint="eastAsia" w:ascii="仿宋_GB2312" w:hAnsi="仿宋_GB2312" w:eastAsia="仿宋_GB2312" w:cs="仿宋_GB2312"/>
          <w:i w:val="0"/>
          <w:iCs w:val="0"/>
          <w:caps w:val="0"/>
          <w:color w:val="000000"/>
          <w:spacing w:val="0"/>
          <w:sz w:val="32"/>
          <w:szCs w:val="32"/>
          <w:highlight w:val="yellow"/>
          <w:shd w:val="clear" w:fill="FFFFFF"/>
        </w:rPr>
        <w:t>支撑材料尽量提供原件，如没有原件可提供复印件。所有支撑材料均应提供电子版（</w:t>
      </w:r>
      <w:r>
        <w:rPr>
          <w:rFonts w:hint="eastAsia" w:ascii="仿宋_GB2312" w:hAnsi="仿宋_GB2312" w:eastAsia="仿宋_GB2312" w:cs="仿宋_GB2312"/>
          <w:i w:val="0"/>
          <w:iCs w:val="0"/>
          <w:caps w:val="0"/>
          <w:color w:val="000000"/>
          <w:spacing w:val="0"/>
          <w:sz w:val="32"/>
          <w:szCs w:val="32"/>
          <w:highlight w:val="yellow"/>
          <w:shd w:val="clear" w:fill="FFFFFF"/>
          <w:lang w:val="en-US"/>
        </w:rPr>
        <w:t>MS-office</w:t>
      </w:r>
      <w:r>
        <w:rPr>
          <w:rFonts w:hint="eastAsia" w:ascii="仿宋_GB2312" w:hAnsi="仿宋_GB2312" w:eastAsia="仿宋_GB2312" w:cs="仿宋_GB2312"/>
          <w:i w:val="0"/>
          <w:iCs w:val="0"/>
          <w:caps w:val="0"/>
          <w:color w:val="000000"/>
          <w:spacing w:val="0"/>
          <w:sz w:val="32"/>
          <w:szCs w:val="32"/>
          <w:highlight w:val="yellow"/>
          <w:shd w:val="clear" w:fill="FFFFFF"/>
        </w:rPr>
        <w:t>文件格式、</w:t>
      </w:r>
      <w:r>
        <w:rPr>
          <w:rFonts w:hint="eastAsia" w:ascii="仿宋_GB2312" w:hAnsi="仿宋_GB2312" w:eastAsia="仿宋_GB2312" w:cs="仿宋_GB2312"/>
          <w:i w:val="0"/>
          <w:iCs w:val="0"/>
          <w:caps w:val="0"/>
          <w:color w:val="000000"/>
          <w:spacing w:val="0"/>
          <w:sz w:val="32"/>
          <w:szCs w:val="32"/>
          <w:highlight w:val="yellow"/>
          <w:shd w:val="clear" w:fill="FFFFFF"/>
          <w:lang w:val="en-US"/>
        </w:rPr>
        <w:t>PDF</w:t>
      </w:r>
      <w:r>
        <w:rPr>
          <w:rFonts w:hint="eastAsia" w:ascii="仿宋_GB2312" w:hAnsi="仿宋_GB2312" w:eastAsia="仿宋_GB2312" w:cs="仿宋_GB2312"/>
          <w:i w:val="0"/>
          <w:iCs w:val="0"/>
          <w:caps w:val="0"/>
          <w:color w:val="000000"/>
          <w:spacing w:val="0"/>
          <w:sz w:val="32"/>
          <w:szCs w:val="32"/>
          <w:highlight w:val="yellow"/>
          <w:shd w:val="clear" w:fill="FFFFFF"/>
        </w:rPr>
        <w:t>文档、</w:t>
      </w:r>
      <w:r>
        <w:rPr>
          <w:rFonts w:hint="eastAsia" w:ascii="仿宋_GB2312" w:hAnsi="仿宋_GB2312" w:eastAsia="仿宋_GB2312" w:cs="仿宋_GB2312"/>
          <w:i w:val="0"/>
          <w:iCs w:val="0"/>
          <w:caps w:val="0"/>
          <w:color w:val="000000"/>
          <w:spacing w:val="0"/>
          <w:sz w:val="32"/>
          <w:szCs w:val="32"/>
          <w:highlight w:val="yellow"/>
          <w:shd w:val="clear" w:fill="FFFFFF"/>
          <w:lang w:val="en-US"/>
        </w:rPr>
        <w:t>JPG</w:t>
      </w:r>
      <w:r>
        <w:rPr>
          <w:rFonts w:hint="eastAsia" w:ascii="仿宋_GB2312" w:hAnsi="仿宋_GB2312" w:eastAsia="仿宋_GB2312" w:cs="仿宋_GB2312"/>
          <w:i w:val="0"/>
          <w:iCs w:val="0"/>
          <w:caps w:val="0"/>
          <w:color w:val="000000"/>
          <w:spacing w:val="0"/>
          <w:sz w:val="32"/>
          <w:szCs w:val="32"/>
          <w:highlight w:val="yellow"/>
          <w:shd w:val="clear" w:fill="FFFFFF"/>
        </w:rPr>
        <w:t>图片等）并形成电子目录。</w:t>
      </w:r>
    </w:p>
    <w:p>
      <w:pPr>
        <w:pStyle w:val="3"/>
        <w:keepNext w:val="0"/>
        <w:keepLines w:val="0"/>
        <w:widowControl/>
        <w:suppressLineNumbers w:val="0"/>
        <w:shd w:val="clear" w:fill="FFFFFF"/>
        <w:spacing w:line="555" w:lineRule="atLeast"/>
        <w:ind w:left="0" w:firstLine="645"/>
        <w:rPr>
          <w:rFonts w:hint="eastAsia" w:ascii="仿宋" w:hAnsi="仿宋" w:eastAsia="仿宋" w:cs="仿宋"/>
          <w:i w:val="0"/>
          <w:iCs w:val="0"/>
          <w:caps w:val="0"/>
          <w:color w:val="000000"/>
          <w:spacing w:val="0"/>
          <w:sz w:val="31"/>
          <w:szCs w:val="31"/>
          <w:shd w:val="clear" w:fill="FFFFFF"/>
        </w:rPr>
      </w:pPr>
    </w:p>
    <w:p>
      <w:pPr>
        <w:pStyle w:val="3"/>
        <w:keepNext w:val="0"/>
        <w:keepLines w:val="0"/>
        <w:widowControl/>
        <w:suppressLineNumbers w:val="0"/>
        <w:shd w:val="clear" w:fill="FFFFFF"/>
        <w:spacing w:line="555" w:lineRule="atLeast"/>
        <w:ind w:left="0" w:firstLine="645"/>
        <w:jc w:val="center"/>
        <w:rPr>
          <w:rFonts w:hint="eastAsia" w:ascii="仿宋" w:hAnsi="仿宋" w:eastAsia="仿宋" w:cs="仿宋"/>
          <w:b/>
          <w:bCs/>
          <w:i w:val="0"/>
          <w:iCs w:val="0"/>
          <w:caps w:val="0"/>
          <w:color w:val="000000"/>
          <w:spacing w:val="0"/>
          <w:sz w:val="31"/>
          <w:szCs w:val="31"/>
          <w:shd w:val="clear" w:fill="FFFFFF"/>
          <w:lang w:eastAsia="zh-CN"/>
        </w:rPr>
      </w:pPr>
      <w:r>
        <w:rPr>
          <w:rFonts w:hint="eastAsia" w:ascii="仿宋" w:hAnsi="仿宋" w:eastAsia="仿宋" w:cs="仿宋"/>
          <w:b/>
          <w:bCs/>
          <w:i w:val="0"/>
          <w:iCs w:val="0"/>
          <w:caps w:val="0"/>
          <w:color w:val="000000"/>
          <w:spacing w:val="0"/>
          <w:sz w:val="31"/>
          <w:szCs w:val="31"/>
          <w:shd w:val="clear" w:fill="FFFFFF"/>
          <w:lang w:eastAsia="zh-CN"/>
        </w:rPr>
        <w:t>（专业自评报告撰写纲要附后）</w:t>
      </w:r>
    </w:p>
    <w:p>
      <w:pPr>
        <w:keepNext w:val="0"/>
        <w:keepLines w:val="0"/>
        <w:pageBreakBefore w:val="0"/>
        <w:widowControl w:val="0"/>
        <w:kinsoku/>
        <w:wordWrap/>
        <w:overflowPunct/>
        <w:topLinePunct w:val="0"/>
        <w:autoSpaceDE/>
        <w:autoSpaceDN/>
        <w:bidi w:val="0"/>
        <w:snapToGrid/>
        <w:spacing w:before="156" w:beforeLines="50" w:line="520" w:lineRule="exact"/>
        <w:jc w:val="center"/>
        <w:textAlignment w:val="auto"/>
        <w:rPr>
          <w:rFonts w:eastAsia="黑体"/>
          <w:b/>
          <w:bCs/>
          <w:sz w:val="44"/>
          <w:szCs w:val="44"/>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eastAsia="黑体"/>
          <w:b/>
          <w:bCs/>
          <w:sz w:val="44"/>
          <w:szCs w:val="44"/>
          <w:lang w:eastAsia="zh-CN"/>
        </w:rPr>
      </w:pPr>
      <w:r>
        <w:rPr>
          <w:rFonts w:hint="eastAsia" w:eastAsia="黑体"/>
          <w:b/>
          <w:bCs/>
          <w:sz w:val="44"/>
          <w:szCs w:val="44"/>
          <w:lang w:eastAsia="zh-CN"/>
        </w:rPr>
        <w:t>福建师范大学本科教育教学审核评估</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eastAsia="黑体"/>
          <w:b/>
          <w:bCs/>
          <w:sz w:val="44"/>
          <w:szCs w:val="44"/>
          <w:lang w:eastAsia="zh-CN"/>
        </w:rPr>
      </w:pPr>
      <w:r>
        <w:rPr>
          <w:b/>
          <w:sz w:val="36"/>
          <w:szCs w:val="36"/>
          <w:u w:val="single"/>
        </w:rPr>
        <w:t xml:space="preserve">                   </w:t>
      </w:r>
      <w:r>
        <w:rPr>
          <w:rFonts w:hint="eastAsia" w:eastAsia="黑体"/>
          <w:b/>
          <w:bCs/>
          <w:sz w:val="44"/>
          <w:szCs w:val="44"/>
          <w:lang w:eastAsia="zh-CN"/>
        </w:rPr>
        <w:t>专业自评报告</w:t>
      </w:r>
    </w:p>
    <w:p>
      <w:pPr>
        <w:keepNext w:val="0"/>
        <w:keepLines w:val="0"/>
        <w:pageBreakBefore w:val="0"/>
        <w:widowControl w:val="0"/>
        <w:kinsoku/>
        <w:wordWrap/>
        <w:overflowPunct/>
        <w:topLinePunct w:val="0"/>
        <w:autoSpaceDE/>
        <w:autoSpaceDN/>
        <w:bidi w:val="0"/>
        <w:snapToGrid/>
        <w:spacing w:line="520" w:lineRule="exact"/>
        <w:ind w:firstLine="556"/>
        <w:jc w:val="center"/>
        <w:textAlignment w:val="auto"/>
        <w:rPr>
          <w:rFonts w:eastAsia="仿宋_GB2312"/>
          <w:b/>
          <w:bCs/>
          <w:sz w:val="52"/>
          <w:szCs w:val="52"/>
        </w:rPr>
      </w:pPr>
    </w:p>
    <w:p>
      <w:pPr>
        <w:keepNext w:val="0"/>
        <w:keepLines w:val="0"/>
        <w:pageBreakBefore w:val="0"/>
        <w:widowControl w:val="0"/>
        <w:kinsoku/>
        <w:wordWrap/>
        <w:overflowPunct/>
        <w:topLinePunct w:val="0"/>
        <w:autoSpaceDE/>
        <w:autoSpaceDN/>
        <w:bidi w:val="0"/>
        <w:snapToGrid/>
        <w:spacing w:line="520" w:lineRule="exact"/>
        <w:ind w:firstLine="556"/>
        <w:jc w:val="center"/>
        <w:textAlignment w:val="auto"/>
        <w:rPr>
          <w:rFonts w:eastAsia="仿宋_GB2312"/>
          <w:b/>
          <w:bCs/>
          <w:sz w:val="52"/>
          <w:szCs w:val="52"/>
        </w:rPr>
      </w:pPr>
    </w:p>
    <w:p>
      <w:pPr>
        <w:keepNext w:val="0"/>
        <w:keepLines w:val="0"/>
        <w:pageBreakBefore w:val="0"/>
        <w:widowControl w:val="0"/>
        <w:kinsoku/>
        <w:wordWrap/>
        <w:overflowPunct/>
        <w:topLinePunct w:val="0"/>
        <w:autoSpaceDE/>
        <w:autoSpaceDN/>
        <w:bidi w:val="0"/>
        <w:snapToGrid/>
        <w:spacing w:line="520" w:lineRule="exact"/>
        <w:ind w:firstLine="556"/>
        <w:jc w:val="center"/>
        <w:textAlignment w:val="auto"/>
        <w:rPr>
          <w:rFonts w:eastAsia="仿宋_GB2312"/>
          <w:b/>
          <w:bCs/>
          <w:sz w:val="52"/>
          <w:szCs w:val="52"/>
        </w:rPr>
      </w:pPr>
    </w:p>
    <w:p>
      <w:pPr>
        <w:keepNext w:val="0"/>
        <w:keepLines w:val="0"/>
        <w:pageBreakBefore w:val="0"/>
        <w:widowControl w:val="0"/>
        <w:kinsoku/>
        <w:wordWrap/>
        <w:overflowPunct/>
        <w:topLinePunct w:val="0"/>
        <w:autoSpaceDE/>
        <w:autoSpaceDN/>
        <w:bidi w:val="0"/>
        <w:snapToGrid/>
        <w:spacing w:line="520" w:lineRule="exact"/>
        <w:ind w:firstLine="556"/>
        <w:jc w:val="center"/>
        <w:textAlignment w:val="auto"/>
        <w:rPr>
          <w:rFonts w:eastAsia="仿宋_GB2312"/>
          <w:b/>
          <w:bCs/>
          <w:sz w:val="52"/>
          <w:szCs w:val="52"/>
        </w:rPr>
      </w:pPr>
    </w:p>
    <w:p>
      <w:pPr>
        <w:keepNext w:val="0"/>
        <w:keepLines w:val="0"/>
        <w:pageBreakBefore w:val="0"/>
        <w:widowControl w:val="0"/>
        <w:kinsoku/>
        <w:wordWrap/>
        <w:overflowPunct/>
        <w:topLinePunct w:val="0"/>
        <w:autoSpaceDE/>
        <w:autoSpaceDN/>
        <w:bidi w:val="0"/>
        <w:snapToGrid/>
        <w:spacing w:line="520" w:lineRule="exact"/>
        <w:ind w:firstLine="556"/>
        <w:jc w:val="center"/>
        <w:textAlignment w:val="auto"/>
        <w:rPr>
          <w:rFonts w:eastAsia="仿宋_GB2312"/>
          <w:b/>
          <w:bCs/>
          <w:sz w:val="52"/>
          <w:szCs w:val="52"/>
        </w:rPr>
      </w:pPr>
    </w:p>
    <w:p>
      <w:pPr>
        <w:keepNext w:val="0"/>
        <w:keepLines w:val="0"/>
        <w:pageBreakBefore w:val="0"/>
        <w:widowControl w:val="0"/>
        <w:kinsoku/>
        <w:wordWrap/>
        <w:overflowPunct/>
        <w:topLinePunct w:val="0"/>
        <w:autoSpaceDE/>
        <w:autoSpaceDN/>
        <w:bidi w:val="0"/>
        <w:snapToGrid/>
        <w:spacing w:line="520" w:lineRule="exact"/>
        <w:ind w:firstLine="556"/>
        <w:jc w:val="center"/>
        <w:textAlignment w:val="auto"/>
        <w:rPr>
          <w:rFonts w:eastAsia="仿宋_GB2312"/>
          <w:b/>
          <w:bCs/>
          <w:sz w:val="52"/>
          <w:szCs w:val="52"/>
        </w:rPr>
      </w:pPr>
    </w:p>
    <w:tbl>
      <w:tblPr>
        <w:tblStyle w:val="4"/>
        <w:tblW w:w="0" w:type="auto"/>
        <w:jc w:val="center"/>
        <w:tblLayout w:type="fixed"/>
        <w:tblCellMar>
          <w:top w:w="0" w:type="dxa"/>
          <w:left w:w="108" w:type="dxa"/>
          <w:bottom w:w="0" w:type="dxa"/>
          <w:right w:w="108" w:type="dxa"/>
        </w:tblCellMar>
      </w:tblPr>
      <w:tblGrid>
        <w:gridCol w:w="3343"/>
        <w:gridCol w:w="287"/>
        <w:gridCol w:w="3879"/>
      </w:tblGrid>
      <w:tr>
        <w:tblPrEx>
          <w:tblCellMar>
            <w:top w:w="0" w:type="dxa"/>
            <w:left w:w="108" w:type="dxa"/>
            <w:bottom w:w="0" w:type="dxa"/>
            <w:right w:w="108" w:type="dxa"/>
          </w:tblCellMar>
        </w:tblPrEx>
        <w:trPr>
          <w:trHeight w:val="907" w:hRule="exact"/>
          <w:jc w:val="center"/>
        </w:trPr>
        <w:tc>
          <w:tcPr>
            <w:tcW w:w="3343" w:type="dxa"/>
            <w:vAlign w:val="center"/>
          </w:tcPr>
          <w:p>
            <w:pPr>
              <w:keepNext w:val="0"/>
              <w:keepLines w:val="0"/>
              <w:pageBreakBefore w:val="0"/>
              <w:widowControl w:val="0"/>
              <w:tabs>
                <w:tab w:val="left" w:pos="2131"/>
                <w:tab w:val="left" w:pos="2551"/>
              </w:tabs>
              <w:kinsoku/>
              <w:wordWrap/>
              <w:overflowPunct/>
              <w:topLinePunct w:val="0"/>
              <w:autoSpaceDE/>
              <w:autoSpaceDN/>
              <w:bidi w:val="0"/>
              <w:snapToGrid/>
              <w:spacing w:line="520" w:lineRule="exact"/>
              <w:textAlignment w:val="auto"/>
              <w:rPr>
                <w:b/>
                <w:bCs/>
                <w:sz w:val="36"/>
                <w:szCs w:val="36"/>
              </w:rPr>
            </w:pPr>
            <w:r>
              <w:rPr>
                <w:rFonts w:hint="eastAsia"/>
                <w:b/>
                <w:bCs/>
                <w:sz w:val="36"/>
                <w:szCs w:val="36"/>
                <w:lang w:eastAsia="zh-CN"/>
              </w:rPr>
              <w:t>学院名称（公章）：</w:t>
            </w:r>
            <w:r>
              <w:rPr>
                <w:b/>
                <w:bCs/>
                <w:kern w:val="0"/>
                <w:sz w:val="36"/>
                <w:szCs w:val="36"/>
              </w:rPr>
              <w:t xml:space="preserve">　 </w:t>
            </w:r>
          </w:p>
        </w:tc>
        <w:tc>
          <w:tcPr>
            <w:tcW w:w="287" w:type="dxa"/>
            <w:vAlign w:val="center"/>
          </w:tcPr>
          <w:p>
            <w:pPr>
              <w:keepNext w:val="0"/>
              <w:keepLines w:val="0"/>
              <w:pageBreakBefore w:val="0"/>
              <w:widowControl w:val="0"/>
              <w:kinsoku/>
              <w:wordWrap/>
              <w:overflowPunct/>
              <w:topLinePunct w:val="0"/>
              <w:autoSpaceDE/>
              <w:autoSpaceDN/>
              <w:bidi w:val="0"/>
              <w:snapToGrid/>
              <w:spacing w:line="520" w:lineRule="exact"/>
              <w:jc w:val="center"/>
              <w:textAlignment w:val="auto"/>
              <w:rPr>
                <w:b/>
                <w:bCs/>
                <w:sz w:val="36"/>
                <w:szCs w:val="36"/>
              </w:rPr>
            </w:pPr>
          </w:p>
        </w:tc>
        <w:tc>
          <w:tcPr>
            <w:tcW w:w="3879" w:type="dxa"/>
            <w:vAlign w:val="center"/>
          </w:tcPr>
          <w:p>
            <w:pPr>
              <w:keepNext w:val="0"/>
              <w:keepLines w:val="0"/>
              <w:pageBreakBefore w:val="0"/>
              <w:widowControl w:val="0"/>
              <w:kinsoku/>
              <w:wordWrap/>
              <w:overflowPunct/>
              <w:topLinePunct w:val="0"/>
              <w:autoSpaceDE/>
              <w:autoSpaceDN/>
              <w:bidi w:val="0"/>
              <w:snapToGrid/>
              <w:spacing w:line="520" w:lineRule="exact"/>
              <w:textAlignment w:val="auto"/>
              <w:rPr>
                <w:b/>
                <w:sz w:val="36"/>
                <w:szCs w:val="36"/>
                <w:u w:val="single"/>
              </w:rPr>
            </w:pPr>
            <w:r>
              <w:rPr>
                <w:b/>
                <w:sz w:val="36"/>
                <w:szCs w:val="36"/>
                <w:u w:val="single"/>
              </w:rPr>
              <w:t xml:space="preserve">                    </w:t>
            </w:r>
          </w:p>
        </w:tc>
      </w:tr>
      <w:tr>
        <w:tblPrEx>
          <w:tblCellMar>
            <w:top w:w="0" w:type="dxa"/>
            <w:left w:w="108" w:type="dxa"/>
            <w:bottom w:w="0" w:type="dxa"/>
            <w:right w:w="108" w:type="dxa"/>
          </w:tblCellMar>
        </w:tblPrEx>
        <w:trPr>
          <w:trHeight w:val="907" w:hRule="exact"/>
          <w:jc w:val="center"/>
        </w:trPr>
        <w:tc>
          <w:tcPr>
            <w:tcW w:w="3343" w:type="dxa"/>
            <w:vAlign w:val="center"/>
          </w:tcPr>
          <w:p>
            <w:pPr>
              <w:keepNext w:val="0"/>
              <w:keepLines w:val="0"/>
              <w:pageBreakBefore w:val="0"/>
              <w:widowControl w:val="0"/>
              <w:kinsoku/>
              <w:wordWrap/>
              <w:overflowPunct/>
              <w:topLinePunct w:val="0"/>
              <w:autoSpaceDE/>
              <w:autoSpaceDN/>
              <w:bidi w:val="0"/>
              <w:snapToGrid/>
              <w:spacing w:line="520" w:lineRule="exact"/>
              <w:textAlignment w:val="auto"/>
              <w:rPr>
                <w:rFonts w:hint="eastAsia" w:eastAsia="宋体"/>
                <w:b/>
                <w:bCs/>
                <w:sz w:val="36"/>
                <w:szCs w:val="36"/>
                <w:lang w:eastAsia="zh-CN"/>
              </w:rPr>
            </w:pPr>
            <w:r>
              <w:rPr>
                <w:rFonts w:hint="eastAsia"/>
                <w:b/>
                <w:bCs/>
                <w:sz w:val="36"/>
                <w:szCs w:val="36"/>
                <w:lang w:eastAsia="zh-CN"/>
              </w:rPr>
              <w:t>专业联系人：</w:t>
            </w:r>
          </w:p>
        </w:tc>
        <w:tc>
          <w:tcPr>
            <w:tcW w:w="287" w:type="dxa"/>
            <w:vAlign w:val="center"/>
          </w:tcPr>
          <w:p>
            <w:pPr>
              <w:keepNext w:val="0"/>
              <w:keepLines w:val="0"/>
              <w:pageBreakBefore w:val="0"/>
              <w:widowControl w:val="0"/>
              <w:kinsoku/>
              <w:wordWrap/>
              <w:overflowPunct/>
              <w:topLinePunct w:val="0"/>
              <w:autoSpaceDE/>
              <w:autoSpaceDN/>
              <w:bidi w:val="0"/>
              <w:snapToGrid/>
              <w:spacing w:line="520" w:lineRule="exact"/>
              <w:jc w:val="center"/>
              <w:textAlignment w:val="auto"/>
              <w:rPr>
                <w:b/>
                <w:bCs/>
                <w:sz w:val="36"/>
                <w:szCs w:val="36"/>
              </w:rPr>
            </w:pPr>
          </w:p>
        </w:tc>
        <w:tc>
          <w:tcPr>
            <w:tcW w:w="3879" w:type="dxa"/>
            <w:vAlign w:val="center"/>
          </w:tcPr>
          <w:p>
            <w:pPr>
              <w:keepNext w:val="0"/>
              <w:keepLines w:val="0"/>
              <w:pageBreakBefore w:val="0"/>
              <w:widowControl w:val="0"/>
              <w:kinsoku/>
              <w:wordWrap/>
              <w:overflowPunct/>
              <w:topLinePunct w:val="0"/>
              <w:autoSpaceDE/>
              <w:autoSpaceDN/>
              <w:bidi w:val="0"/>
              <w:snapToGrid/>
              <w:spacing w:line="520" w:lineRule="exact"/>
              <w:textAlignment w:val="auto"/>
              <w:rPr>
                <w:b/>
                <w:sz w:val="36"/>
                <w:szCs w:val="36"/>
                <w:u w:val="single"/>
              </w:rPr>
            </w:pPr>
            <w:r>
              <w:rPr>
                <w:b/>
                <w:sz w:val="36"/>
                <w:szCs w:val="36"/>
                <w:u w:val="single"/>
              </w:rPr>
              <w:t xml:space="preserve">                    </w:t>
            </w:r>
          </w:p>
        </w:tc>
      </w:tr>
      <w:tr>
        <w:tblPrEx>
          <w:tblCellMar>
            <w:top w:w="0" w:type="dxa"/>
            <w:left w:w="108" w:type="dxa"/>
            <w:bottom w:w="0" w:type="dxa"/>
            <w:right w:w="108" w:type="dxa"/>
          </w:tblCellMar>
        </w:tblPrEx>
        <w:trPr>
          <w:trHeight w:val="907" w:hRule="exact"/>
          <w:jc w:val="center"/>
        </w:trPr>
        <w:tc>
          <w:tcPr>
            <w:tcW w:w="3343" w:type="dxa"/>
            <w:vAlign w:val="center"/>
          </w:tcPr>
          <w:p>
            <w:pPr>
              <w:keepNext w:val="0"/>
              <w:keepLines w:val="0"/>
              <w:pageBreakBefore w:val="0"/>
              <w:widowControl w:val="0"/>
              <w:kinsoku/>
              <w:wordWrap/>
              <w:overflowPunct/>
              <w:topLinePunct w:val="0"/>
              <w:autoSpaceDE/>
              <w:autoSpaceDN/>
              <w:bidi w:val="0"/>
              <w:snapToGrid/>
              <w:spacing w:line="520" w:lineRule="exact"/>
              <w:textAlignment w:val="auto"/>
              <w:rPr>
                <w:rFonts w:hint="eastAsia" w:eastAsia="宋体"/>
                <w:b/>
                <w:bCs/>
                <w:sz w:val="36"/>
                <w:szCs w:val="36"/>
                <w:lang w:eastAsia="zh-CN"/>
              </w:rPr>
            </w:pPr>
            <w:r>
              <w:rPr>
                <w:rFonts w:hint="eastAsia"/>
                <w:b/>
                <w:bCs/>
                <w:sz w:val="36"/>
                <w:szCs w:val="36"/>
                <w:lang w:eastAsia="zh-CN"/>
              </w:rPr>
              <w:t>学院负责人（签字）：</w:t>
            </w:r>
          </w:p>
        </w:tc>
        <w:tc>
          <w:tcPr>
            <w:tcW w:w="287" w:type="dxa"/>
            <w:vAlign w:val="center"/>
          </w:tcPr>
          <w:p>
            <w:pPr>
              <w:keepNext w:val="0"/>
              <w:keepLines w:val="0"/>
              <w:pageBreakBefore w:val="0"/>
              <w:widowControl w:val="0"/>
              <w:kinsoku/>
              <w:wordWrap/>
              <w:overflowPunct/>
              <w:topLinePunct w:val="0"/>
              <w:autoSpaceDE/>
              <w:autoSpaceDN/>
              <w:bidi w:val="0"/>
              <w:snapToGrid/>
              <w:spacing w:line="520" w:lineRule="exact"/>
              <w:jc w:val="center"/>
              <w:textAlignment w:val="auto"/>
              <w:rPr>
                <w:b/>
                <w:bCs/>
                <w:sz w:val="36"/>
                <w:szCs w:val="36"/>
              </w:rPr>
            </w:pPr>
          </w:p>
        </w:tc>
        <w:tc>
          <w:tcPr>
            <w:tcW w:w="3879" w:type="dxa"/>
            <w:vAlign w:val="center"/>
          </w:tcPr>
          <w:p>
            <w:pPr>
              <w:keepNext w:val="0"/>
              <w:keepLines w:val="0"/>
              <w:pageBreakBefore w:val="0"/>
              <w:widowControl w:val="0"/>
              <w:kinsoku/>
              <w:wordWrap/>
              <w:overflowPunct/>
              <w:topLinePunct w:val="0"/>
              <w:autoSpaceDE/>
              <w:autoSpaceDN/>
              <w:bidi w:val="0"/>
              <w:snapToGrid/>
              <w:spacing w:line="520" w:lineRule="exact"/>
              <w:textAlignment w:val="auto"/>
              <w:rPr>
                <w:b/>
                <w:sz w:val="36"/>
                <w:szCs w:val="36"/>
                <w:u w:val="single"/>
              </w:rPr>
            </w:pPr>
            <w:r>
              <w:rPr>
                <w:b/>
                <w:sz w:val="36"/>
                <w:szCs w:val="36"/>
                <w:u w:val="single"/>
              </w:rPr>
              <w:t xml:space="preserve">                    </w:t>
            </w:r>
          </w:p>
        </w:tc>
      </w:tr>
      <w:tr>
        <w:tblPrEx>
          <w:tblCellMar>
            <w:top w:w="0" w:type="dxa"/>
            <w:left w:w="108" w:type="dxa"/>
            <w:bottom w:w="0" w:type="dxa"/>
            <w:right w:w="108" w:type="dxa"/>
          </w:tblCellMar>
        </w:tblPrEx>
        <w:trPr>
          <w:trHeight w:val="925" w:hRule="exact"/>
          <w:jc w:val="center"/>
        </w:trPr>
        <w:tc>
          <w:tcPr>
            <w:tcW w:w="3343" w:type="dxa"/>
            <w:vAlign w:val="center"/>
          </w:tcPr>
          <w:p>
            <w:pPr>
              <w:keepNext w:val="0"/>
              <w:keepLines w:val="0"/>
              <w:pageBreakBefore w:val="0"/>
              <w:widowControl w:val="0"/>
              <w:kinsoku/>
              <w:wordWrap/>
              <w:overflowPunct/>
              <w:topLinePunct w:val="0"/>
              <w:autoSpaceDE/>
              <w:autoSpaceDN/>
              <w:bidi w:val="0"/>
              <w:snapToGrid/>
              <w:spacing w:line="520" w:lineRule="exact"/>
              <w:textAlignment w:val="auto"/>
              <w:rPr>
                <w:rFonts w:hint="eastAsia" w:eastAsia="宋体"/>
                <w:b/>
                <w:bCs/>
                <w:sz w:val="36"/>
                <w:szCs w:val="36"/>
                <w:lang w:eastAsia="zh-CN"/>
              </w:rPr>
            </w:pPr>
            <w:r>
              <w:rPr>
                <w:rFonts w:hint="eastAsia"/>
                <w:b/>
                <w:bCs/>
                <w:sz w:val="36"/>
                <w:szCs w:val="36"/>
                <w:lang w:eastAsia="zh-CN"/>
              </w:rPr>
              <w:t>提交日期：</w:t>
            </w:r>
          </w:p>
        </w:tc>
        <w:tc>
          <w:tcPr>
            <w:tcW w:w="287" w:type="dxa"/>
            <w:vAlign w:val="center"/>
          </w:tcPr>
          <w:p>
            <w:pPr>
              <w:keepNext w:val="0"/>
              <w:keepLines w:val="0"/>
              <w:pageBreakBefore w:val="0"/>
              <w:widowControl w:val="0"/>
              <w:kinsoku/>
              <w:wordWrap/>
              <w:overflowPunct/>
              <w:topLinePunct w:val="0"/>
              <w:autoSpaceDE/>
              <w:autoSpaceDN/>
              <w:bidi w:val="0"/>
              <w:snapToGrid/>
              <w:spacing w:line="520" w:lineRule="exact"/>
              <w:jc w:val="center"/>
              <w:textAlignment w:val="auto"/>
              <w:rPr>
                <w:b/>
                <w:bCs/>
                <w:sz w:val="36"/>
                <w:szCs w:val="36"/>
              </w:rPr>
            </w:pPr>
          </w:p>
        </w:tc>
        <w:tc>
          <w:tcPr>
            <w:tcW w:w="3879" w:type="dxa"/>
            <w:vAlign w:val="center"/>
          </w:tcPr>
          <w:p>
            <w:pPr>
              <w:keepNext w:val="0"/>
              <w:keepLines w:val="0"/>
              <w:pageBreakBefore w:val="0"/>
              <w:widowControl w:val="0"/>
              <w:kinsoku/>
              <w:wordWrap/>
              <w:overflowPunct/>
              <w:topLinePunct w:val="0"/>
              <w:autoSpaceDE/>
              <w:autoSpaceDN/>
              <w:bidi w:val="0"/>
              <w:snapToGrid/>
              <w:spacing w:line="520" w:lineRule="exact"/>
              <w:jc w:val="center"/>
              <w:textAlignment w:val="auto"/>
              <w:rPr>
                <w:b/>
                <w:bCs/>
                <w:sz w:val="36"/>
                <w:szCs w:val="36"/>
              </w:rPr>
            </w:pPr>
            <w:r>
              <w:rPr>
                <w:b/>
                <w:bCs/>
                <w:sz w:val="36"/>
                <w:szCs w:val="36"/>
              </w:rPr>
              <w:t>2023年   月   日</w:t>
            </w:r>
          </w:p>
        </w:tc>
      </w:tr>
    </w:tbl>
    <w:p>
      <w:pPr>
        <w:keepNext w:val="0"/>
        <w:keepLines w:val="0"/>
        <w:pageBreakBefore w:val="0"/>
        <w:widowControl w:val="0"/>
        <w:kinsoku/>
        <w:wordWrap/>
        <w:overflowPunct/>
        <w:topLinePunct w:val="0"/>
        <w:autoSpaceDE/>
        <w:autoSpaceDN/>
        <w:bidi w:val="0"/>
        <w:snapToGrid/>
        <w:spacing w:line="520" w:lineRule="exact"/>
        <w:textAlignment w:val="auto"/>
        <w:rPr>
          <w:b/>
          <w:bCs/>
          <w:sz w:val="28"/>
          <w:szCs w:val="28"/>
        </w:rPr>
      </w:pPr>
    </w:p>
    <w:p>
      <w:pPr>
        <w:keepNext w:val="0"/>
        <w:keepLines w:val="0"/>
        <w:pageBreakBefore w:val="0"/>
        <w:widowControl w:val="0"/>
        <w:kinsoku/>
        <w:wordWrap/>
        <w:overflowPunct/>
        <w:topLinePunct w:val="0"/>
        <w:autoSpaceDE/>
        <w:autoSpaceDN/>
        <w:bidi w:val="0"/>
        <w:snapToGrid/>
        <w:spacing w:line="520" w:lineRule="exact"/>
        <w:textAlignment w:val="auto"/>
        <w:rPr>
          <w:b/>
          <w:bCs/>
          <w:sz w:val="28"/>
          <w:szCs w:val="28"/>
        </w:rPr>
      </w:pPr>
    </w:p>
    <w:p>
      <w:pPr>
        <w:keepNext w:val="0"/>
        <w:keepLines w:val="0"/>
        <w:pageBreakBefore w:val="0"/>
        <w:widowControl w:val="0"/>
        <w:kinsoku/>
        <w:wordWrap/>
        <w:overflowPunct/>
        <w:topLinePunct w:val="0"/>
        <w:autoSpaceDE/>
        <w:autoSpaceDN/>
        <w:bidi w:val="0"/>
        <w:snapToGrid/>
        <w:spacing w:line="520" w:lineRule="exact"/>
        <w:jc w:val="center"/>
        <w:textAlignment w:val="auto"/>
        <w:rPr>
          <w:b/>
          <w:bCs/>
          <w:sz w:val="36"/>
          <w:szCs w:val="36"/>
        </w:rPr>
      </w:pPr>
      <w:r>
        <w:rPr>
          <w:rFonts w:hint="eastAsia"/>
          <w:b/>
          <w:bCs/>
          <w:sz w:val="36"/>
          <w:szCs w:val="36"/>
          <w:lang w:eastAsia="zh-CN"/>
        </w:rPr>
        <w:t>福建师范</w:t>
      </w:r>
      <w:r>
        <w:rPr>
          <w:rFonts w:hint="eastAsia"/>
          <w:b/>
          <w:bCs/>
          <w:sz w:val="36"/>
          <w:szCs w:val="36"/>
        </w:rPr>
        <w:t>大学</w:t>
      </w:r>
      <w:r>
        <w:rPr>
          <w:b/>
          <w:bCs/>
          <w:sz w:val="36"/>
          <w:szCs w:val="36"/>
        </w:rPr>
        <w:t>制</w:t>
      </w:r>
    </w:p>
    <w:p>
      <w:pPr>
        <w:keepNext w:val="0"/>
        <w:keepLines w:val="0"/>
        <w:pageBreakBefore w:val="0"/>
        <w:widowControl w:val="0"/>
        <w:kinsoku/>
        <w:wordWrap/>
        <w:overflowPunct/>
        <w:topLinePunct w:val="0"/>
        <w:autoSpaceDE/>
        <w:autoSpaceDN/>
        <w:bidi w:val="0"/>
        <w:snapToGrid/>
        <w:spacing w:line="520" w:lineRule="exact"/>
        <w:jc w:val="center"/>
        <w:textAlignment w:val="auto"/>
        <w:rPr>
          <w:rFonts w:eastAsia="仿宋_GB2312"/>
          <w:b/>
          <w:bCs/>
          <w:sz w:val="28"/>
          <w:szCs w:val="28"/>
        </w:rPr>
      </w:pPr>
      <w:r>
        <w:rPr>
          <w:rFonts w:eastAsia="仿宋_GB2312"/>
          <w:b/>
          <w:bCs/>
          <w:sz w:val="28"/>
          <w:szCs w:val="28"/>
        </w:rPr>
        <w:br w:type="page"/>
      </w:r>
    </w:p>
    <w:p>
      <w:pPr>
        <w:keepNext w:val="0"/>
        <w:keepLines w:val="0"/>
        <w:pageBreakBefore w:val="0"/>
        <w:widowControl w:val="0"/>
        <w:kinsoku/>
        <w:wordWrap/>
        <w:overflowPunct/>
        <w:topLinePunct w:val="0"/>
        <w:autoSpaceDE/>
        <w:autoSpaceDN/>
        <w:bidi w:val="0"/>
        <w:snapToGrid/>
        <w:spacing w:line="520" w:lineRule="exact"/>
        <w:jc w:val="center"/>
        <w:textAlignment w:val="auto"/>
        <w:rPr>
          <w:rFonts w:eastAsia="黑体"/>
          <w:b/>
          <w:bCs/>
          <w:color w:val="000000"/>
          <w:sz w:val="36"/>
          <w:szCs w:val="36"/>
        </w:rPr>
      </w:pPr>
      <w:r>
        <w:rPr>
          <w:rFonts w:eastAsia="黑体"/>
          <w:b/>
          <w:bCs/>
          <w:color w:val="000000"/>
          <w:sz w:val="36"/>
          <w:szCs w:val="36"/>
        </w:rPr>
        <w:t>填  表  说  明</w:t>
      </w:r>
    </w:p>
    <w:p>
      <w:pPr>
        <w:keepNext w:val="0"/>
        <w:keepLines w:val="0"/>
        <w:pageBreakBefore w:val="0"/>
        <w:widowControl w:val="0"/>
        <w:kinsoku/>
        <w:wordWrap/>
        <w:overflowPunct/>
        <w:topLinePunct w:val="0"/>
        <w:autoSpaceDE/>
        <w:autoSpaceDN/>
        <w:bidi w:val="0"/>
        <w:snapToGrid/>
        <w:spacing w:line="520" w:lineRule="exact"/>
        <w:jc w:val="center"/>
        <w:textAlignment w:val="auto"/>
        <w:rPr>
          <w:rFonts w:eastAsia="黑体"/>
          <w:b/>
          <w:bCs/>
          <w:color w:val="000000"/>
          <w:sz w:val="36"/>
          <w:szCs w:val="36"/>
        </w:rPr>
      </w:pP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40" w:firstLineChars="200"/>
        <w:textAlignment w:val="auto"/>
        <w:rPr>
          <w:rFonts w:hint="eastAsia" w:eastAsia="仿宋_GB2312"/>
          <w:sz w:val="32"/>
          <w:szCs w:val="32"/>
          <w:lang w:eastAsia="zh-CN"/>
        </w:rPr>
      </w:pPr>
      <w:r>
        <w:rPr>
          <w:rFonts w:hint="eastAsia" w:eastAsia="仿宋_GB2312"/>
          <w:sz w:val="32"/>
          <w:szCs w:val="32"/>
          <w:lang w:val="en-US" w:eastAsia="zh-CN"/>
        </w:rPr>
        <w:t>1.</w:t>
      </w:r>
      <w:r>
        <w:rPr>
          <w:rFonts w:hint="eastAsia" w:eastAsia="仿宋_GB2312"/>
          <w:sz w:val="32"/>
          <w:szCs w:val="32"/>
          <w:lang w:eastAsia="zh-CN"/>
        </w:rPr>
        <w:t>专业应按评估指标体系撰写自评报告。</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val="en-US" w:eastAsia="zh-CN"/>
        </w:rPr>
        <w:t>2.</w:t>
      </w:r>
      <w:r>
        <w:rPr>
          <w:rFonts w:hint="eastAsia" w:eastAsia="仿宋_GB2312"/>
          <w:sz w:val="32"/>
          <w:szCs w:val="32"/>
          <w:highlight w:val="none"/>
          <w:lang w:eastAsia="zh-CN"/>
        </w:rPr>
        <w:t>《自评报告》总字数应控制在</w:t>
      </w:r>
      <w:r>
        <w:rPr>
          <w:rFonts w:hint="eastAsia" w:eastAsia="仿宋_GB2312"/>
          <w:sz w:val="32"/>
          <w:szCs w:val="32"/>
          <w:highlight w:val="none"/>
          <w:lang w:val="en-US" w:eastAsia="zh-CN"/>
        </w:rPr>
        <w:t>1.1万字以内（不含附录），存在的问题、原因分析以及改进措施不少于3000字。</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textAlignment w:val="auto"/>
        <w:rPr>
          <w:rFonts w:hint="default" w:eastAsia="仿宋_GB2312"/>
          <w:sz w:val="32"/>
          <w:szCs w:val="32"/>
          <w:highlight w:val="none"/>
          <w:lang w:val="en-US" w:eastAsia="zh-CN"/>
        </w:rPr>
      </w:pPr>
      <w:r>
        <w:rPr>
          <w:rFonts w:hint="eastAsia" w:eastAsia="仿宋_GB2312"/>
          <w:sz w:val="32"/>
          <w:szCs w:val="32"/>
          <w:highlight w:val="none"/>
          <w:lang w:val="en-US" w:eastAsia="zh-CN"/>
        </w:rPr>
        <w:t xml:space="preserve">    3.格式文本中的黑体字体为规定内容，撰写时予以保留；其他字体为提示参考，撰写时不需保留。</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eastAsia="仿宋_GB2312"/>
          <w:sz w:val="32"/>
          <w:szCs w:val="32"/>
        </w:rPr>
      </w:pPr>
      <w:r>
        <w:rPr>
          <w:rFonts w:hint="eastAsia" w:eastAsia="仿宋_GB2312"/>
          <w:sz w:val="32"/>
          <w:szCs w:val="32"/>
          <w:lang w:val="en-US" w:eastAsia="zh-CN"/>
        </w:rPr>
        <w:t>4.</w:t>
      </w:r>
      <w:r>
        <w:rPr>
          <w:rFonts w:eastAsia="仿宋_GB2312"/>
          <w:sz w:val="32"/>
          <w:szCs w:val="32"/>
        </w:rPr>
        <w:t>本表内容按要求填写，必须真实准确，具有代表性。</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eastAsia="仿宋_GB2312"/>
          <w:sz w:val="32"/>
          <w:szCs w:val="32"/>
        </w:rPr>
      </w:pPr>
      <w:r>
        <w:rPr>
          <w:rFonts w:hint="eastAsia" w:eastAsia="仿宋_GB2312"/>
          <w:sz w:val="32"/>
          <w:szCs w:val="32"/>
          <w:lang w:val="en-US" w:eastAsia="zh-CN"/>
        </w:rPr>
        <w:t>5.</w:t>
      </w:r>
      <w:r>
        <w:rPr>
          <w:rFonts w:hint="eastAsia" w:eastAsia="仿宋_GB2312"/>
          <w:sz w:val="32"/>
          <w:szCs w:val="32"/>
          <w:lang w:eastAsia="zh-CN"/>
        </w:rPr>
        <w:t>支撑材料目录应作为《自评报告》附录列出，每个二级审核指标自评结果后面应分别列出支撑材料索引</w:t>
      </w:r>
      <w:r>
        <w:rPr>
          <w:rFonts w:eastAsia="仿宋_GB2312"/>
          <w:sz w:val="32"/>
          <w:szCs w:val="32"/>
        </w:rPr>
        <w:t>。</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eastAsia="仿宋_GB2312"/>
          <w:sz w:val="32"/>
          <w:szCs w:val="32"/>
        </w:rPr>
      </w:pPr>
      <w:r>
        <w:rPr>
          <w:rFonts w:hint="eastAsia" w:eastAsia="仿宋_GB2312"/>
          <w:sz w:val="32"/>
          <w:szCs w:val="32"/>
          <w:lang w:val="en-US" w:eastAsia="zh-CN"/>
        </w:rPr>
        <w:t>6.</w:t>
      </w:r>
      <w:r>
        <w:rPr>
          <w:rFonts w:hint="eastAsia" w:eastAsia="仿宋_GB2312"/>
          <w:sz w:val="32"/>
          <w:szCs w:val="32"/>
          <w:lang w:eastAsia="zh-CN"/>
        </w:rPr>
        <w:t>《自评报告》中的数据应真实、有效</w:t>
      </w:r>
      <w:r>
        <w:rPr>
          <w:rFonts w:eastAsia="仿宋_GB2312"/>
          <w:sz w:val="32"/>
          <w:szCs w:val="32"/>
        </w:rPr>
        <w:t>。</w:t>
      </w:r>
    </w:p>
    <w:p>
      <w:pPr>
        <w:keepNext w:val="0"/>
        <w:keepLines w:val="0"/>
        <w:pageBreakBefore w:val="0"/>
        <w:widowControl w:val="0"/>
        <w:kinsoku/>
        <w:wordWrap/>
        <w:overflowPunct/>
        <w:topLinePunct w:val="0"/>
        <w:autoSpaceDE/>
        <w:autoSpaceDN/>
        <w:bidi w:val="0"/>
        <w:snapToGrid/>
        <w:spacing w:line="520" w:lineRule="exact"/>
        <w:ind w:firstLine="555"/>
        <w:jc w:val="center"/>
        <w:textAlignment w:val="auto"/>
        <w:rPr>
          <w:rFonts w:eastAsia="仿宋_GB2312"/>
          <w:b/>
          <w:bCs/>
          <w:sz w:val="28"/>
          <w:szCs w:val="28"/>
        </w:rPr>
      </w:pPr>
    </w:p>
    <w:p>
      <w:pPr>
        <w:keepNext w:val="0"/>
        <w:keepLines w:val="0"/>
        <w:pageBreakBefore w:val="0"/>
        <w:widowControl w:val="0"/>
        <w:kinsoku/>
        <w:wordWrap/>
        <w:overflowPunct/>
        <w:topLinePunct w:val="0"/>
        <w:autoSpaceDE/>
        <w:autoSpaceDN/>
        <w:bidi w:val="0"/>
        <w:snapToGrid/>
        <w:spacing w:line="520" w:lineRule="exact"/>
        <w:jc w:val="center"/>
        <w:textAlignment w:val="auto"/>
        <w:rPr>
          <w:rFonts w:eastAsia="仿宋_GB2312"/>
          <w:b/>
          <w:bCs/>
          <w:sz w:val="28"/>
          <w:szCs w:val="28"/>
        </w:rPr>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textAlignment w:val="auto"/>
      </w:pPr>
    </w:p>
    <w:p>
      <w:pPr>
        <w:keepNext w:val="0"/>
        <w:keepLines w:val="0"/>
        <w:pageBreakBefore w:val="0"/>
        <w:widowControl w:val="0"/>
        <w:kinsoku/>
        <w:wordWrap/>
        <w:overflowPunct/>
        <w:topLinePunct w:val="0"/>
        <w:autoSpaceDE/>
        <w:autoSpaceDN/>
        <w:bidi w:val="0"/>
        <w:snapToGrid/>
        <w:spacing w:line="52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本科教育教学审核评估自评报告</w:t>
      </w:r>
    </w:p>
    <w:p>
      <w:pPr>
        <w:keepNext w:val="0"/>
        <w:keepLines w:val="0"/>
        <w:pageBreakBefore w:val="0"/>
        <w:widowControl w:val="0"/>
        <w:kinsoku/>
        <w:wordWrap/>
        <w:overflowPunct/>
        <w:topLinePunct w:val="0"/>
        <w:autoSpaceDE/>
        <w:autoSpaceDN/>
        <w:bidi w:val="0"/>
        <w:snapToGrid/>
        <w:spacing w:line="520" w:lineRule="exact"/>
        <w:jc w:val="center"/>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snapToGrid/>
        <w:spacing w:line="52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专业</w:t>
      </w:r>
      <w:r>
        <w:rPr>
          <w:rFonts w:hint="eastAsia" w:ascii="黑体" w:hAnsi="黑体" w:eastAsia="黑体" w:cs="黑体"/>
          <w:b/>
          <w:bCs/>
          <w:sz w:val="32"/>
          <w:szCs w:val="32"/>
          <w:lang w:eastAsia="zh-CN"/>
        </w:rPr>
        <w:t>自评工作开展情况</w:t>
      </w:r>
      <w:r>
        <w:rPr>
          <w:rFonts w:hint="eastAsia" w:ascii="黑体" w:hAnsi="黑体" w:eastAsia="黑体" w:cs="黑体"/>
          <w:b w:val="0"/>
          <w:bCs w:val="0"/>
          <w:sz w:val="32"/>
          <w:szCs w:val="32"/>
          <w:lang w:eastAsia="zh-CN"/>
        </w:rPr>
        <w:t>（不超过</w:t>
      </w:r>
      <w:r>
        <w:rPr>
          <w:rFonts w:hint="eastAsia" w:ascii="黑体" w:hAnsi="黑体" w:eastAsia="黑体" w:cs="黑体"/>
          <w:b w:val="0"/>
          <w:bCs w:val="0"/>
          <w:sz w:val="32"/>
          <w:szCs w:val="32"/>
          <w:lang w:val="en-US" w:eastAsia="zh-CN"/>
        </w:rPr>
        <w:t>1000字）</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1.简要说明专业开展自评自建工作情况，包括组织机构、宣传发动、实施措施、经验以及评建工作取得的实效。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2.需附自查问题清单、支撑材料索引、学院审核评估工作领导小组、自评自建工作方案、自评自建过程记录等。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snapToGrid/>
        <w:spacing w:line="52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bCs/>
          <w:sz w:val="32"/>
          <w:szCs w:val="32"/>
          <w:lang w:eastAsia="zh-CN"/>
        </w:rPr>
        <w:t>第二部分：专业自评结果</w:t>
      </w:r>
      <w:r>
        <w:rPr>
          <w:rFonts w:hint="eastAsia" w:ascii="黑体" w:hAnsi="黑体" w:eastAsia="黑体" w:cs="黑体"/>
          <w:b w:val="0"/>
          <w:bCs w:val="0"/>
          <w:sz w:val="32"/>
          <w:szCs w:val="32"/>
          <w:lang w:eastAsia="zh-CN"/>
        </w:rPr>
        <w:t>（不超过</w:t>
      </w:r>
      <w:r>
        <w:rPr>
          <w:rFonts w:hint="eastAsia" w:ascii="黑体" w:hAnsi="黑体" w:eastAsia="黑体" w:cs="黑体"/>
          <w:b w:val="0"/>
          <w:bCs w:val="0"/>
          <w:sz w:val="32"/>
          <w:szCs w:val="32"/>
          <w:lang w:val="en-US" w:eastAsia="zh-CN"/>
        </w:rPr>
        <w:t>10000字）</w:t>
      </w:r>
    </w:p>
    <w:p>
      <w:pPr>
        <w:keepNext w:val="0"/>
        <w:keepLines w:val="0"/>
        <w:pageBreakBefore w:val="0"/>
        <w:widowControl w:val="0"/>
        <w:kinsoku/>
        <w:wordWrap/>
        <w:overflowPunct/>
        <w:topLinePunct w:val="0"/>
        <w:autoSpaceDE/>
        <w:autoSpaceDN/>
        <w:bidi w:val="0"/>
        <w:snapToGrid/>
        <w:spacing w:line="520" w:lineRule="exact"/>
        <w:jc w:val="center"/>
        <w:textAlignment w:val="auto"/>
        <w:rPr>
          <w:rFonts w:hint="eastAsia" w:ascii="黑体" w:hAnsi="黑体" w:eastAsia="黑体" w:cs="黑体"/>
          <w:b w:val="0"/>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1.办学方向与本科地位</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1.1党的领导</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重点阐述：</w:t>
      </w:r>
      <w:r>
        <w:rPr>
          <w:rFonts w:hint="eastAsia" w:ascii="仿宋_GB2312" w:hAnsi="仿宋_GB2312" w:eastAsia="仿宋_GB2312" w:cs="仿宋_GB2312"/>
          <w:b w:val="0"/>
          <w:bCs w:val="0"/>
          <w:sz w:val="32"/>
          <w:szCs w:val="32"/>
          <w:lang w:val="en-US" w:eastAsia="zh-CN"/>
        </w:rPr>
        <w:t>专业如何坚持社会主义办学方向，贯彻落实立德树人根本任务的，是否把立德树人成效作为检验学院（专业）工作的根本标准，如何体现，所采取的具体举措及取得的成效。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列出上述自评结果的相关材料目录索引，如学院在加强党的领导方面出台的制度文件；贯彻落实立德树人根本任务方面的成果、典型案例；相关会议或宣传报送材料。</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1.2思政教育</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Calibri" w:hAnsi="Calibri" w:eastAsia="仿宋_GB2312" w:cs="Calibri"/>
          <w:b w:val="0"/>
          <w:bCs w:val="0"/>
          <w:sz w:val="32"/>
          <w:szCs w:val="32"/>
          <w:lang w:val="en-US" w:eastAsia="zh-CN"/>
        </w:rPr>
      </w:pPr>
      <w:r>
        <w:rPr>
          <w:rFonts w:hint="default" w:ascii="微软雅黑" w:hAnsi="微软雅黑" w:eastAsia="微软雅黑" w:cs="微软雅黑"/>
          <w:b w:val="0"/>
          <w:bCs w:val="0"/>
          <w:sz w:val="32"/>
          <w:szCs w:val="32"/>
          <w:lang w:val="en-US" w:eastAsia="zh-CN"/>
        </w:rPr>
        <w:t>①</w:t>
      </w:r>
      <w:r>
        <w:rPr>
          <w:rFonts w:hint="eastAsia" w:ascii="Calibri" w:hAnsi="Calibri" w:eastAsia="仿宋_GB2312" w:cs="Calibri"/>
          <w:b w:val="0"/>
          <w:bCs w:val="0"/>
          <w:sz w:val="32"/>
          <w:szCs w:val="32"/>
          <w:lang w:val="en-US" w:eastAsia="zh-CN"/>
        </w:rPr>
        <w:t xml:space="preserve">学院（专业）如何开展“三全育人”工作？成效如何？ </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Calibri" w:hAnsi="Calibri" w:eastAsia="仿宋_GB2312" w:cs="Calibri"/>
          <w:b/>
          <w:bCs/>
          <w:sz w:val="32"/>
          <w:szCs w:val="32"/>
          <w:lang w:val="en-US" w:eastAsia="zh-CN"/>
        </w:rPr>
      </w:pPr>
      <w:r>
        <w:rPr>
          <w:rFonts w:hint="default" w:ascii="微软雅黑" w:hAnsi="微软雅黑" w:eastAsia="微软雅黑" w:cs="微软雅黑"/>
          <w:b w:val="0"/>
          <w:bCs w:val="0"/>
          <w:sz w:val="32"/>
          <w:szCs w:val="32"/>
          <w:lang w:val="en-US" w:eastAsia="zh-CN"/>
        </w:rPr>
        <w:t>②</w:t>
      </w:r>
      <w:r>
        <w:rPr>
          <w:rFonts w:hint="eastAsia" w:ascii="Calibri" w:hAnsi="Calibri" w:eastAsia="仿宋_GB2312" w:cs="Calibri"/>
          <w:b w:val="0"/>
          <w:bCs w:val="0"/>
          <w:sz w:val="32"/>
          <w:szCs w:val="32"/>
          <w:lang w:val="en-US" w:eastAsia="zh-CN"/>
        </w:rPr>
        <w:t>学院（专业）在思想政治理论课教师队伍和思政课程建设方面的做法及成效；按要求开设“习近平总书记关于教育的重要论述研究”课程、落实习近平总书记在学校思想政治理论课教师座谈会上的指示、《新时代高等学校思想政治理论课教师队伍建设规定》（教育部令第46号）情况（</w:t>
      </w:r>
      <w:r>
        <w:rPr>
          <w:rFonts w:hint="eastAsia" w:ascii="Calibri" w:hAnsi="Calibri" w:eastAsia="仿宋_GB2312" w:cs="Calibri"/>
          <w:b/>
          <w:bCs/>
          <w:sz w:val="32"/>
          <w:szCs w:val="32"/>
          <w:lang w:val="en-US" w:eastAsia="zh-CN"/>
        </w:rPr>
        <w:t>本条由马克思主义学院提供）。</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Calibri" w:hAnsi="Calibri" w:eastAsia="仿宋_GB2312" w:cs="Calibri"/>
          <w:b w:val="0"/>
          <w:bCs w:val="0"/>
          <w:sz w:val="32"/>
          <w:szCs w:val="32"/>
          <w:lang w:val="en-US" w:eastAsia="zh-CN"/>
        </w:rPr>
        <w:t>学院（专业）</w:t>
      </w:r>
      <w:r>
        <w:rPr>
          <w:rFonts w:hint="eastAsia" w:ascii="仿宋_GB2312" w:hAnsi="仿宋_GB2312" w:eastAsia="仿宋_GB2312" w:cs="仿宋_GB2312"/>
          <w:b w:val="0"/>
          <w:bCs w:val="0"/>
          <w:sz w:val="32"/>
          <w:szCs w:val="32"/>
          <w:lang w:val="en-US" w:eastAsia="zh-CN"/>
        </w:rPr>
        <w:t>在思政教育方面的制度文件；思想政治理论课教师队伍和思政课程建设方面的统计分析资料（马克思主义学院提供）；</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1.3本科地位</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default"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①</w:t>
      </w:r>
      <w:r>
        <w:rPr>
          <w:rFonts w:hint="eastAsia" w:ascii="Calibri" w:hAnsi="Calibri" w:eastAsia="仿宋_GB2312" w:cs="Calibri"/>
          <w:b w:val="0"/>
          <w:bCs w:val="0"/>
          <w:sz w:val="32"/>
          <w:szCs w:val="32"/>
          <w:lang w:val="en-US" w:eastAsia="zh-CN"/>
        </w:rPr>
        <w:t>专业</w:t>
      </w:r>
      <w:r>
        <w:rPr>
          <w:rFonts w:hint="eastAsia" w:ascii="仿宋_GB2312" w:hAnsi="仿宋_GB2312" w:eastAsia="仿宋_GB2312" w:cs="仿宋_GB2312"/>
          <w:b w:val="0"/>
          <w:bCs w:val="0"/>
          <w:sz w:val="32"/>
          <w:szCs w:val="32"/>
          <w:lang w:val="en-US" w:eastAsia="zh-CN"/>
        </w:rPr>
        <w:t>在坚持“以本为本”，把本科教育放在人才培养的核心地位、教育教学的基础地位、新时代教育发展的前沿地位情况；学院在营造院长落实的本科教育良好氛围方面所采取的举措及实施成效。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②</w:t>
      </w:r>
      <w:r>
        <w:rPr>
          <w:rFonts w:hint="eastAsia" w:ascii="Calibri" w:hAnsi="Calibri" w:eastAsia="仿宋_GB2312" w:cs="Calibri"/>
          <w:b w:val="0"/>
          <w:bCs w:val="0"/>
          <w:sz w:val="32"/>
          <w:szCs w:val="32"/>
          <w:lang w:val="en-US" w:eastAsia="zh-CN"/>
        </w:rPr>
        <w:t>专业</w:t>
      </w:r>
      <w:r>
        <w:rPr>
          <w:rFonts w:hint="eastAsia" w:ascii="仿宋_GB2312" w:hAnsi="仿宋_GB2312" w:eastAsia="仿宋_GB2312" w:cs="仿宋_GB2312"/>
          <w:b w:val="0"/>
          <w:bCs w:val="0"/>
          <w:sz w:val="32"/>
          <w:szCs w:val="32"/>
          <w:lang w:val="en-US" w:eastAsia="zh-CN"/>
        </w:rPr>
        <w:t>在落实“四个回归”中如何体现？在引导学生求真学问，引导教师热爱教学、倾心教学、研究教学、潜心教书育人方面所采取的举措及取得的成效。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val="0"/>
          <w:bCs w:val="0"/>
          <w:sz w:val="32"/>
          <w:szCs w:val="32"/>
          <w:lang w:val="en-US" w:eastAsia="zh-CN"/>
        </w:rPr>
      </w:pPr>
      <w:r>
        <w:rPr>
          <w:rFonts w:hint="eastAsia" w:ascii="微软雅黑" w:hAnsi="微软雅黑" w:eastAsia="微软雅黑" w:cs="微软雅黑"/>
          <w:b w:val="0"/>
          <w:bCs w:val="0"/>
          <w:sz w:val="32"/>
          <w:szCs w:val="32"/>
          <w:lang w:val="en-US" w:eastAsia="zh-CN"/>
        </w:rPr>
        <w:t>③</w:t>
      </w:r>
      <w:r>
        <w:rPr>
          <w:rFonts w:hint="eastAsia" w:ascii="Calibri" w:hAnsi="Calibri" w:eastAsia="仿宋_GB2312" w:cs="Calibri"/>
          <w:b w:val="0"/>
          <w:bCs w:val="0"/>
          <w:sz w:val="32"/>
          <w:szCs w:val="32"/>
          <w:lang w:val="en-US" w:eastAsia="zh-CN"/>
        </w:rPr>
        <w:t>学院（专业）</w:t>
      </w:r>
      <w:r>
        <w:rPr>
          <w:rFonts w:hint="eastAsia" w:ascii="仿宋_GB2312" w:hAnsi="仿宋_GB2312" w:eastAsia="仿宋_GB2312" w:cs="仿宋_GB2312"/>
          <w:b w:val="0"/>
          <w:bCs w:val="0"/>
          <w:sz w:val="32"/>
          <w:szCs w:val="32"/>
          <w:lang w:val="en-US" w:eastAsia="zh-CN"/>
        </w:rPr>
        <w:t>把本科教育教学工作放在优先发展地位的体现，包括经费安排、资源配置、教师引进、职称评聘、绩效考核等方面的机制体制建设。</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Calibri" w:hAnsi="Calibri" w:eastAsia="仿宋_GB2312" w:cs="Calibri"/>
          <w:b w:val="0"/>
          <w:bCs w:val="0"/>
          <w:sz w:val="32"/>
          <w:szCs w:val="32"/>
          <w:lang w:val="en-US" w:eastAsia="zh-CN"/>
        </w:rPr>
        <w:t>学院（专业）</w:t>
      </w:r>
      <w:r>
        <w:rPr>
          <w:rFonts w:hint="eastAsia" w:ascii="仿宋_GB2312" w:hAnsi="仿宋_GB2312" w:eastAsia="仿宋_GB2312" w:cs="仿宋_GB2312"/>
          <w:b w:val="0"/>
          <w:bCs w:val="0"/>
          <w:sz w:val="32"/>
          <w:szCs w:val="32"/>
          <w:lang w:val="en-US" w:eastAsia="zh-CN"/>
        </w:rPr>
        <w:t>落实本科地位方面制订出台的制度文件；学院党政会议专题研究本科教育教学工作的会议记录、学院领导听课记录；近三年</w:t>
      </w:r>
      <w:r>
        <w:rPr>
          <w:rFonts w:hint="eastAsia" w:ascii="Calibri" w:hAnsi="Calibri" w:eastAsia="仿宋_GB2312" w:cs="Calibri"/>
          <w:b w:val="0"/>
          <w:bCs w:val="0"/>
          <w:sz w:val="32"/>
          <w:szCs w:val="32"/>
          <w:lang w:val="en-US" w:eastAsia="zh-CN"/>
        </w:rPr>
        <w:t>学院（专业）</w:t>
      </w:r>
      <w:r>
        <w:rPr>
          <w:rFonts w:hint="eastAsia" w:ascii="仿宋_GB2312" w:hAnsi="仿宋_GB2312" w:eastAsia="仿宋_GB2312" w:cs="仿宋_GB2312"/>
          <w:b w:val="0"/>
          <w:bCs w:val="0"/>
          <w:sz w:val="32"/>
          <w:szCs w:val="32"/>
          <w:lang w:val="en-US" w:eastAsia="zh-CN"/>
        </w:rPr>
        <w:t>在教学方面的经费投入情况等。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1.4存在的问题、原因分析及下一步整改举措</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重点阐述：</w:t>
      </w:r>
      <w:r>
        <w:rPr>
          <w:rFonts w:hint="eastAsia" w:ascii="仿宋_GB2312" w:hAnsi="仿宋_GB2312" w:eastAsia="仿宋_GB2312" w:cs="仿宋_GB2312"/>
          <w:b w:val="0"/>
          <w:bCs w:val="0"/>
          <w:sz w:val="32"/>
          <w:szCs w:val="32"/>
          <w:lang w:val="en-US" w:eastAsia="zh-CN"/>
        </w:rPr>
        <w:t>对标习近平总书记关于教育的重要论述，新时代国家对高水平一流本科人才培养要求，分析</w:t>
      </w:r>
      <w:r>
        <w:rPr>
          <w:rFonts w:hint="eastAsia" w:ascii="Calibri" w:hAnsi="Calibri" w:eastAsia="仿宋_GB2312" w:cs="Calibri"/>
          <w:b w:val="0"/>
          <w:bCs w:val="0"/>
          <w:sz w:val="32"/>
          <w:szCs w:val="32"/>
          <w:lang w:val="en-US" w:eastAsia="zh-CN"/>
        </w:rPr>
        <w:t>学院（专业）</w:t>
      </w:r>
      <w:r>
        <w:rPr>
          <w:rFonts w:hint="eastAsia" w:ascii="仿宋_GB2312" w:hAnsi="仿宋_GB2312" w:eastAsia="仿宋_GB2312" w:cs="仿宋_GB2312"/>
          <w:b w:val="0"/>
          <w:bCs w:val="0"/>
          <w:sz w:val="32"/>
          <w:szCs w:val="32"/>
          <w:lang w:val="en-US" w:eastAsia="zh-CN"/>
        </w:rPr>
        <w:t>在办学方向与落实本科地位方面存在的主要问题是什么？问题表现是什么？产生问题的根源是什么？以及下一步如何改。</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2.培养过程</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2.1培养过程</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①</w:t>
      </w:r>
      <w:r>
        <w:rPr>
          <w:rFonts w:hint="eastAsia" w:ascii="仿宋_GB2312" w:hAnsi="仿宋_GB2312" w:eastAsia="仿宋_GB2312" w:cs="仿宋_GB2312"/>
          <w:b w:val="0"/>
          <w:bCs w:val="0"/>
          <w:sz w:val="32"/>
          <w:szCs w:val="32"/>
          <w:lang w:val="en-US" w:eastAsia="zh-CN"/>
        </w:rPr>
        <w:t>专业培养方案是否符合普通高等学校本科专业类国家标准（基本标准）要求，是否融入行业标准（特色标准）、是否体现学校定位（个性化标准）；培养方案是否体现了产出导向理念，即根据培养目标制定毕业要求、根据毕业要求构建与之相适应的课程体系。</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②</w:t>
      </w:r>
      <w:r>
        <w:rPr>
          <w:rFonts w:hint="eastAsia" w:ascii="仿宋_GB2312" w:hAnsi="仿宋_GB2312" w:eastAsia="仿宋_GB2312" w:cs="仿宋_GB2312"/>
          <w:b w:val="0"/>
          <w:bCs w:val="0"/>
          <w:sz w:val="32"/>
          <w:szCs w:val="32"/>
          <w:lang w:val="en-US" w:eastAsia="zh-CN"/>
        </w:rPr>
        <w:t>专业培养方案是否突出学校人才培养目标特色，突出强化学生的理论基础，将教学与科研紧密结合，培养学生的创新意识和创新能力。</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学科专业发展规划、专业人才培养方案汇编。</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2.2专业建设</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①</w:t>
      </w:r>
      <w:r>
        <w:rPr>
          <w:rFonts w:hint="eastAsia" w:ascii="仿宋_GB2312" w:hAnsi="仿宋_GB2312" w:eastAsia="仿宋_GB2312" w:cs="仿宋_GB2312"/>
          <w:b w:val="0"/>
          <w:bCs w:val="0"/>
          <w:sz w:val="32"/>
          <w:szCs w:val="32"/>
          <w:lang w:val="en-US" w:eastAsia="zh-CN"/>
        </w:rPr>
        <w:t>专业设置、专业建设与国家和区域经济社会发展需要的契合情况，具体阐述专业设置与专业建设与国家发展战略及社会对创新型人才需求相契合。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专业建设规划、专业建设方面的规章制度文件。</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2.3实践教学</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①</w:t>
      </w:r>
      <w:r>
        <w:rPr>
          <w:rFonts w:hint="eastAsia" w:ascii="仿宋_GB2312" w:hAnsi="仿宋_GB2312" w:eastAsia="仿宋_GB2312" w:cs="仿宋_GB2312"/>
          <w:b w:val="0"/>
          <w:bCs w:val="0"/>
          <w:sz w:val="32"/>
          <w:szCs w:val="32"/>
          <w:lang w:val="en-US" w:eastAsia="zh-CN"/>
        </w:rPr>
        <w:t>专业推进实践教学改革措施及实施效果。</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②</w:t>
      </w:r>
      <w:r>
        <w:rPr>
          <w:rFonts w:hint="eastAsia" w:ascii="仿宋_GB2312" w:hAnsi="仿宋_GB2312" w:eastAsia="仿宋_GB2312" w:cs="仿宋_GB2312"/>
          <w:b w:val="0"/>
          <w:bCs w:val="0"/>
          <w:sz w:val="32"/>
          <w:szCs w:val="32"/>
          <w:lang w:val="en-US" w:eastAsia="zh-CN"/>
        </w:rPr>
        <w:t>专业与科研院所或企业、行业单位合作共赢、开放共享的实践育人机制建设，支持本科人才培养的效果情况。具体阐述学校与科研院所、企业共建科研实践、实习实训基地情况。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微软雅黑" w:hAnsi="微软雅黑" w:eastAsia="微软雅黑" w:cs="微软雅黑"/>
          <w:b w:val="0"/>
          <w:bCs w:val="0"/>
          <w:sz w:val="32"/>
          <w:szCs w:val="32"/>
          <w:lang w:val="en-US" w:eastAsia="zh-CN"/>
        </w:rPr>
        <w:t>③</w:t>
      </w:r>
      <w:r>
        <w:rPr>
          <w:rFonts w:hint="eastAsia" w:ascii="仿宋_GB2312" w:hAnsi="仿宋_GB2312" w:eastAsia="仿宋_GB2312" w:cs="仿宋_GB2312"/>
          <w:b w:val="0"/>
          <w:bCs w:val="0"/>
          <w:sz w:val="32"/>
          <w:szCs w:val="32"/>
          <w:lang w:val="en-US" w:eastAsia="zh-CN"/>
        </w:rPr>
        <w:t>专业对毕业论文（设计）选题、开题、答辩等环节的全过程管理要求，对形式、内容、难度的严格监控情况及实际完成质量情况。具体阐述毕业论文（设计）选题来自教师专业实践和科研课题情况。（定量指标要求：以实验、实习、工程实践和社会调查等实践性工作为基础的毕业论文比例</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50%）</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学院（专业）实践教学方面制度文件、相关专业设计性、综合性实验开设与实验室开放情况统计、近两年毕业论文（设计）选题一览表，包括选题来源情况统计分析。</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2.4课堂教学</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①</w:t>
      </w:r>
      <w:r>
        <w:rPr>
          <w:rFonts w:hint="eastAsia" w:ascii="仿宋_GB2312" w:hAnsi="仿宋_GB2312" w:eastAsia="仿宋_GB2312" w:cs="仿宋_GB2312"/>
          <w:b w:val="0"/>
          <w:bCs w:val="0"/>
          <w:sz w:val="32"/>
          <w:szCs w:val="32"/>
          <w:lang w:val="en-US" w:eastAsia="zh-CN"/>
        </w:rPr>
        <w:t>专业推动课堂教学从“以教为中心”向“以学为中心”的转变，促进教与学、教学与科研的紧密结合情况；以学生学习成果为导向，推进教学内容及考试评价方法改革情。</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②</w:t>
      </w:r>
      <w:r>
        <w:rPr>
          <w:rFonts w:hint="eastAsia" w:ascii="仿宋_GB2312" w:hAnsi="仿宋_GB2312" w:eastAsia="仿宋_GB2312" w:cs="仿宋_GB2312"/>
          <w:b w:val="0"/>
          <w:bCs w:val="0"/>
          <w:sz w:val="32"/>
          <w:szCs w:val="32"/>
          <w:lang w:val="en-US" w:eastAsia="zh-CN"/>
        </w:rPr>
        <w:t>专业推动互联网、大数据、人工智能、虚拟现实等现代技术在教学与管理中的应用，推动“互联网+高等教育”新形态信息技术与教学过程融合情况。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微软雅黑" w:hAnsi="微软雅黑" w:eastAsia="微软雅黑" w:cs="微软雅黑"/>
          <w:b w:val="0"/>
          <w:bCs w:val="0"/>
          <w:sz w:val="32"/>
          <w:szCs w:val="32"/>
          <w:lang w:val="en-US" w:eastAsia="zh-CN"/>
        </w:rPr>
        <w:t>③</w:t>
      </w:r>
      <w:r>
        <w:rPr>
          <w:rFonts w:hint="eastAsia" w:ascii="仿宋_GB2312" w:hAnsi="仿宋_GB2312" w:eastAsia="仿宋_GB2312" w:cs="仿宋_GB2312"/>
          <w:b w:val="0"/>
          <w:bCs w:val="0"/>
          <w:sz w:val="32"/>
          <w:szCs w:val="32"/>
          <w:lang w:val="en-US" w:eastAsia="zh-CN"/>
        </w:rPr>
        <w:t>专业根据学校要求选用教材情况，推进马工程重点教材统一使用情况。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学院（专业）课堂教学改革方面出台的制度文件或实施方案；教材审核选用制度规定；开展课堂教学质量评价方面的规定等。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K2.5 卓越培养</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①</w:t>
      </w:r>
      <w:r>
        <w:rPr>
          <w:rFonts w:hint="eastAsia" w:ascii="仿宋_GB2312" w:hAnsi="仿宋_GB2312" w:eastAsia="仿宋_GB2312" w:cs="仿宋_GB2312"/>
          <w:b w:val="0"/>
          <w:bCs w:val="0"/>
          <w:sz w:val="32"/>
          <w:szCs w:val="32"/>
          <w:lang w:val="en-US" w:eastAsia="zh-CN"/>
        </w:rPr>
        <w:t>专业在本科人才培养模式改革方面所开展的工作及其取得的成效。具体阐述如何推进科教协同拔尖人才培养模式改革与实践。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②</w:t>
      </w:r>
      <w:r>
        <w:rPr>
          <w:rFonts w:hint="eastAsia" w:ascii="仿宋_GB2312" w:hAnsi="仿宋_GB2312" w:eastAsia="仿宋_GB2312" w:cs="仿宋_GB2312"/>
          <w:b w:val="0"/>
          <w:bCs w:val="0"/>
          <w:sz w:val="32"/>
          <w:szCs w:val="32"/>
          <w:lang w:val="en-US" w:eastAsia="zh-CN"/>
        </w:rPr>
        <w:t>课程体系整体设计思路；公共课专业基础课、专业课等各类课程结构的优化情况，以及课程建设规划情况。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微软雅黑" w:hAnsi="微软雅黑" w:eastAsia="微软雅黑" w:cs="微软雅黑"/>
          <w:b w:val="0"/>
          <w:bCs w:val="0"/>
          <w:sz w:val="32"/>
          <w:szCs w:val="32"/>
          <w:lang w:val="en-US" w:eastAsia="zh-CN"/>
        </w:rPr>
        <w:t>③</w:t>
      </w:r>
      <w:r>
        <w:rPr>
          <w:rFonts w:hint="eastAsia" w:ascii="仿宋_GB2312" w:hAnsi="仿宋_GB2312" w:eastAsia="仿宋_GB2312" w:cs="仿宋_GB2312"/>
          <w:b w:val="0"/>
          <w:bCs w:val="0"/>
          <w:sz w:val="32"/>
          <w:szCs w:val="32"/>
          <w:lang w:val="en-US" w:eastAsia="zh-CN"/>
        </w:rPr>
        <w:t>学院在新文科、新工科建设以及围绕“培育高水平教学成果”开展教研教改项目建设。</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微软雅黑" w:hAnsi="微软雅黑" w:eastAsia="微软雅黑" w:cs="微软雅黑"/>
          <w:b w:val="0"/>
          <w:bCs w:val="0"/>
          <w:sz w:val="32"/>
          <w:szCs w:val="32"/>
          <w:lang w:val="en-US" w:eastAsia="zh-CN"/>
        </w:rPr>
        <w:t>④</w:t>
      </w:r>
      <w:r>
        <w:rPr>
          <w:rFonts w:hint="eastAsia" w:ascii="仿宋_GB2312" w:hAnsi="仿宋_GB2312" w:eastAsia="仿宋_GB2312" w:cs="仿宋_GB2312"/>
          <w:b w:val="0"/>
          <w:bCs w:val="0"/>
          <w:sz w:val="32"/>
          <w:szCs w:val="32"/>
          <w:lang w:val="en-US" w:eastAsia="zh-CN"/>
        </w:rPr>
        <w:t>学院在推动一流专业、一流课程建设的举措及取得的成效。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微软雅黑" w:hAnsi="微软雅黑" w:eastAsia="微软雅黑" w:cs="微软雅黑"/>
          <w:b w:val="0"/>
          <w:bCs w:val="0"/>
          <w:sz w:val="32"/>
          <w:szCs w:val="32"/>
          <w:lang w:val="en-US" w:eastAsia="zh-CN"/>
        </w:rPr>
        <w:t>⑤</w:t>
      </w:r>
      <w:r>
        <w:rPr>
          <w:rFonts w:hint="eastAsia" w:ascii="仿宋_GB2312" w:hAnsi="仿宋_GB2312" w:eastAsia="仿宋_GB2312" w:cs="仿宋_GB2312"/>
          <w:b w:val="0"/>
          <w:bCs w:val="0"/>
          <w:sz w:val="32"/>
          <w:szCs w:val="32"/>
          <w:lang w:val="en-US" w:eastAsia="zh-CN"/>
        </w:rPr>
        <w:t>学院推动出台的优秀教材建设举措及实施成效。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left="319" w:leftChars="152" w:firstLine="321"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专业建设、课程建设的规划和制度文件，新文科、新工科建设方案；一流专业、一流课程建设方案；优秀教材建设规划等。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highlight w:val="none"/>
          <w:lang w:val="en-US" w:eastAsia="zh-CN"/>
        </w:rPr>
        <w:t>2.6 创新创业教育</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①</w:t>
      </w:r>
      <w:r>
        <w:rPr>
          <w:rFonts w:hint="eastAsia" w:ascii="仿宋_GB2312" w:hAnsi="仿宋_GB2312" w:eastAsia="仿宋_GB2312" w:cs="仿宋_GB2312"/>
          <w:b w:val="0"/>
          <w:bCs w:val="0"/>
          <w:sz w:val="32"/>
          <w:szCs w:val="32"/>
          <w:lang w:val="en-US" w:eastAsia="zh-CN"/>
        </w:rPr>
        <w:t>专业将创新创业教育融于人才培养方案，面向专业学生开展因材施教、强化创新实践情况、推动举措与实施成效。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left="319" w:leftChars="152"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②</w:t>
      </w:r>
      <w:r>
        <w:rPr>
          <w:rFonts w:hint="eastAsia" w:ascii="仿宋_GB2312" w:hAnsi="仿宋_GB2312" w:eastAsia="仿宋_GB2312" w:cs="仿宋_GB2312"/>
          <w:b w:val="0"/>
          <w:bCs w:val="0"/>
          <w:sz w:val="32"/>
          <w:szCs w:val="32"/>
          <w:lang w:val="en-US" w:eastAsia="zh-CN"/>
        </w:rPr>
        <w:t>学生参与创新创业教育的积极性以及取得的成果。</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学院在创新创业教育方面制订出台的文件；教师指导本科生开展创新创业训练的有关材料；国家级大学生创新创业训练计划项目、“互联网+”大学生创新创业大赛获奖项目、本科生参加国内外大赛的获奖项目、本科生发表的论文及获批国家发明专利等统计表；本科生创业典型材料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2.7 存在的问题、原因分析及下一步整改举措</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重点阐述：</w:t>
      </w:r>
      <w:r>
        <w:rPr>
          <w:rFonts w:hint="eastAsia" w:ascii="仿宋_GB2312" w:hAnsi="仿宋_GB2312" w:eastAsia="仿宋_GB2312" w:cs="仿宋_GB2312"/>
          <w:b w:val="0"/>
          <w:bCs w:val="0"/>
          <w:sz w:val="32"/>
          <w:szCs w:val="32"/>
          <w:lang w:val="en-US" w:eastAsia="zh-CN"/>
        </w:rPr>
        <w:t>对照国家人才培养的各项要求，以及通过必选定量指标达标情况、自选定量指标，分析专业在人才培养过程中存在的主要问题是什么？问题表现是什么？产生问题的根源是什么？以及下一步如何改进。</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3.教学资源与利用</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3.2 资源建设</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微软雅黑" w:hAnsi="微软雅黑" w:eastAsia="微软雅黑" w:cs="微软雅黑"/>
          <w:b w:val="0"/>
          <w:bCs w:val="0"/>
          <w:sz w:val="32"/>
          <w:szCs w:val="32"/>
          <w:lang w:val="en-US" w:eastAsia="zh-CN"/>
        </w:rPr>
      </w:pPr>
      <w:r>
        <w:rPr>
          <w:rFonts w:hint="default" w:ascii="微软雅黑" w:hAnsi="微软雅黑" w:eastAsia="微软雅黑" w:cs="微软雅黑"/>
          <w:b w:val="0"/>
          <w:bCs w:val="0"/>
          <w:sz w:val="32"/>
          <w:szCs w:val="32"/>
          <w:lang w:val="en-US" w:eastAsia="zh-CN"/>
        </w:rPr>
        <w:t>①</w:t>
      </w:r>
      <w:r>
        <w:rPr>
          <w:rFonts w:hint="eastAsia" w:ascii="仿宋_GB2312" w:hAnsi="仿宋_GB2312" w:eastAsia="仿宋_GB2312" w:cs="仿宋_GB2312"/>
          <w:b w:val="0"/>
          <w:bCs w:val="0"/>
          <w:sz w:val="32"/>
          <w:szCs w:val="32"/>
          <w:lang w:val="en-US" w:eastAsia="zh-CN"/>
        </w:rPr>
        <w:t>具体阐述推动优质课程资源开发建设与开放共享情况，包括教材、课程资源库、案例库以及网络资源、学科与科研资源等辅助教学资源建设等。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微软雅黑" w:hAnsi="微软雅黑" w:eastAsia="微软雅黑" w:cs="微软雅黑"/>
          <w:b w:val="0"/>
          <w:bCs w:val="0"/>
          <w:sz w:val="32"/>
          <w:szCs w:val="32"/>
          <w:lang w:val="en-US" w:eastAsia="zh-CN"/>
        </w:rPr>
        <w:t>②</w:t>
      </w:r>
      <w:r>
        <w:rPr>
          <w:rFonts w:hint="eastAsia" w:ascii="仿宋_GB2312" w:hAnsi="仿宋_GB2312" w:eastAsia="仿宋_GB2312" w:cs="仿宋_GB2312"/>
          <w:b w:val="0"/>
          <w:bCs w:val="0"/>
          <w:sz w:val="32"/>
          <w:szCs w:val="32"/>
          <w:lang w:val="en-US" w:eastAsia="zh-CN"/>
        </w:rPr>
        <w:t>专业教材建设情况，具体阐述如何鼓励和支持高水平教师面向国家、行业领域要求，编写高水平教材。</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微软雅黑" w:hAnsi="微软雅黑" w:eastAsia="微软雅黑" w:cs="微软雅黑"/>
          <w:b w:val="0"/>
          <w:bCs w:val="0"/>
          <w:sz w:val="32"/>
          <w:szCs w:val="32"/>
          <w:lang w:val="en-US" w:eastAsia="zh-CN"/>
        </w:rPr>
        <w:t>③</w:t>
      </w:r>
      <w:r>
        <w:rPr>
          <w:rFonts w:hint="eastAsia" w:ascii="仿宋_GB2312" w:hAnsi="仿宋_GB2312" w:eastAsia="仿宋_GB2312" w:cs="仿宋_GB2312"/>
          <w:b w:val="0"/>
          <w:bCs w:val="0"/>
          <w:sz w:val="32"/>
          <w:szCs w:val="32"/>
          <w:lang w:val="en-US" w:eastAsia="zh-CN"/>
        </w:rPr>
        <w:t>采取有效措施，积极开拓和有效利用各类教学资源情况。具体阐述促进学科资源转化为教育教学资源情况，包括将最新科研成果融入教学内容，转化为实验项目。</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教学资源建设与利用方面相关文件、高水平教材建设、学科资源、科研成果转化方面的总结材料。</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3.3 存在的问题、原因分析及下一步整改举措</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重点阐述：</w:t>
      </w:r>
      <w:r>
        <w:rPr>
          <w:rFonts w:hint="eastAsia" w:ascii="仿宋_GB2312" w:hAnsi="仿宋_GB2312" w:eastAsia="仿宋_GB2312" w:cs="仿宋_GB2312"/>
          <w:b w:val="0"/>
          <w:bCs w:val="0"/>
          <w:sz w:val="32"/>
          <w:szCs w:val="32"/>
          <w:lang w:val="en-US" w:eastAsia="zh-CN"/>
        </w:rPr>
        <w:t>在教学资源条件、资源建设与利用方面存在的主要问题是什么，问题表现是什么？产生问题的根源是什么？ 以及下一步如何改进。</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4.教师队伍</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bCs/>
          <w:sz w:val="32"/>
          <w:szCs w:val="32"/>
          <w:highlight w:val="yellow"/>
          <w:lang w:val="en-US" w:eastAsia="zh-CN"/>
        </w:rPr>
      </w:pPr>
      <w:r>
        <w:rPr>
          <w:rFonts w:hint="eastAsia" w:ascii="仿宋_GB2312" w:hAnsi="仿宋_GB2312" w:eastAsia="仿宋_GB2312" w:cs="仿宋_GB2312"/>
          <w:b/>
          <w:bCs/>
          <w:sz w:val="32"/>
          <w:szCs w:val="32"/>
          <w:highlight w:val="yellow"/>
          <w:lang w:val="en-US" w:eastAsia="zh-CN"/>
        </w:rPr>
        <w:t>4.1 师德师风－-－由学校提供</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4.2教学能力</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①专业教师队伍的专业水平和教学能力，说明能否很好地胜任教育教学工作。同时，还要阐述教师的科研能力和水平，以及满足学生创新意识和创新能力培养需要的情况。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②专业提升教师教书育人能力和水平的举措及成效，包括教师培训，建立基层教学组织，开展教育教学研究活动等。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教师参加各类教师教育教学培训、教学竞赛活动及提升教师教学能力的措施等。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4.3教学投入</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①学院（专业）在推动高水平教师投入本科教育教学、推动教授给本科生上课方面所采取的激励与约束机制及实施效果。</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②专业教师，特别是教授、副教授开展教学研究、参与教学改革与建设，包括教学改革、专业建设、课程建设和教材建设等实际情况。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学院鼓励教师投入教学的文件，教师近三年开展教学研究、教学改革方面的统计材料、原始申报材料等。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4.4教师发展</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①专业在加强基层教学组织（或教学团队）和青年教师队伍建设等方面的措施与成效。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②专业在提升教师教学能力、信息技术应用能力方面制定的措施及取得的成效。同时，还要阐述如何培养教师的科研能力和实践能力。</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基层教学组织设置情况；</w:t>
      </w:r>
      <w:r>
        <w:rPr>
          <w:rFonts w:hint="eastAsia" w:ascii="仿宋_GB2312" w:hAnsi="仿宋_GB2312" w:eastAsia="仿宋_GB2312" w:cs="仿宋_GB2312"/>
          <w:b w:val="0"/>
          <w:bCs w:val="0"/>
          <w:sz w:val="32"/>
          <w:szCs w:val="32"/>
          <w:highlight w:val="yellow"/>
          <w:lang w:val="en-US" w:eastAsia="zh-CN"/>
        </w:rPr>
        <w:t>近三年教师赴国（境）外交流、访学、参加国际会议、合作研究情况等材料，</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4.5 存在的问题、原因分析及下一步整改举措</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重点阐述：</w:t>
      </w:r>
      <w:r>
        <w:rPr>
          <w:rFonts w:hint="eastAsia" w:ascii="仿宋_GB2312" w:hAnsi="仿宋_GB2312" w:eastAsia="仿宋_GB2312" w:cs="仿宋_GB2312"/>
          <w:b w:val="0"/>
          <w:bCs w:val="0"/>
          <w:sz w:val="32"/>
          <w:szCs w:val="32"/>
          <w:lang w:val="en-US" w:eastAsia="zh-CN"/>
        </w:rPr>
        <w:t>认真对照国家对教师的要求，分析学院（专业）在教师队伍建设方面存在的主要问题是什么？问题表现是什么？产生问题的根源是什么？以及下一步如何改进。</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5.学生发展</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5.1 理想信念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①学院在加强学生理想信念和提高品德修养方面的举措及成效；广大学生的理想信念、道德品质和行为习惯情况。 </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②学院深入学习贯彻习近平总书记在北京大学师生座谈会上的重要讲话精神，教育引导学生为国家发展，为追求真理而勤奋学习奋发图强情况；学院加强学风建设的举措及成效。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列出能够证明上述自评结果的相关材料目录索引，如学院制订的加强学风建设的制度文件；所开展的教育引导学生爱国、励志、求真、力行等活动的有关材料等。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5.2学业成绩及综合素质</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①学院如何重视学生的理论知识学习和综合能力培养，以及学生的学业成绩及综合素质表现情况。同时，还要阐述学生的基础理论、知识面和创新能力情况。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②学院推进体育、美育、劳动教育教学改革的措施及成效。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微软雅黑" w:hAnsi="微软雅黑" w:eastAsia="微软雅黑" w:cs="微软雅黑"/>
          <w:b w:val="0"/>
          <w:bCs w:val="0"/>
          <w:sz w:val="32"/>
          <w:szCs w:val="32"/>
          <w:lang w:val="en-US" w:eastAsia="zh-CN"/>
        </w:rPr>
        <w:t>③</w:t>
      </w:r>
      <w:r>
        <w:rPr>
          <w:rFonts w:hint="eastAsia" w:ascii="仿宋_GB2312" w:hAnsi="仿宋_GB2312" w:eastAsia="仿宋_GB2312" w:cs="仿宋_GB2312"/>
          <w:b w:val="0"/>
          <w:bCs w:val="0"/>
          <w:sz w:val="32"/>
          <w:szCs w:val="32"/>
          <w:lang w:val="en-US" w:eastAsia="zh-CN"/>
        </w:rPr>
        <w:t>学院为培养学生综合素质所开展的社团活动、文化建设、社会实践、志愿服务活动等情况以及取得的效果。</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列出能够证明上述自评结果的相关材料目录索引，如学院加强学生综合素质培养方面的有关文件；学生发表的论文、获批的专利情况统计表；学生参加社团活动、校园文化、社会实践、志愿服务等活动资料。</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K5.3 国际视野</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①专业主动服务国家对外开放战略，积极融入“一带一路”建设，推动国际交流与合作，与国（境）外高水平大学开展联合办学、联合培养等具体做法、采取的举措与取得的成效。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学院国际化发展战略规划或相关文件；学院鼓励教师、学生开展国际合作交流方面的措施。</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5.4 支持服务</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①学院贯彻落实《中共教育部党组关于加强和改进高校领导干部深人基层联系学生工作的通知》（教党函</w:t>
      </w:r>
      <w:r>
        <w:rPr>
          <w:rFonts w:hint="eastAsia" w:ascii="仿宋_GB2312" w:eastAsia="仿宋_GB2312"/>
          <w:sz w:val="28"/>
          <w:szCs w:val="28"/>
        </w:rPr>
        <w:t>〔</w:t>
      </w:r>
      <w:r>
        <w:rPr>
          <w:rFonts w:hint="eastAsia" w:ascii="仿宋_GB2312" w:hAnsi="仿宋_GB2312" w:eastAsia="仿宋_GB2312" w:cs="仿宋_GB2312"/>
          <w:b w:val="0"/>
          <w:bCs w:val="0"/>
          <w:sz w:val="32"/>
          <w:szCs w:val="32"/>
          <w:lang w:val="en-US" w:eastAsia="zh-CN"/>
        </w:rPr>
        <w:t>2019</w:t>
      </w:r>
      <w:r>
        <w:rPr>
          <w:rFonts w:hint="eastAsia" w:ascii="仿宋_GB2312" w:eastAsia="仿宋_GB2312"/>
          <w:sz w:val="28"/>
          <w:szCs w:val="28"/>
        </w:rPr>
        <w:t>〕</w:t>
      </w:r>
      <w:r>
        <w:rPr>
          <w:rFonts w:hint="eastAsia" w:ascii="仿宋_GB2312" w:hAnsi="仿宋_GB2312" w:eastAsia="仿宋_GB2312" w:cs="仿宋_GB2312"/>
          <w:b w:val="0"/>
          <w:bCs w:val="0"/>
          <w:sz w:val="32"/>
          <w:szCs w:val="32"/>
          <w:lang w:val="en-US" w:eastAsia="zh-CN"/>
        </w:rPr>
        <w:t>34 号）要求，推动领导干部和教师参与学生工作的举措及效果，包括参与面、参与程度和参与效果。</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②学院学生指导服务体系及场地设施建设情况；学业指导、职业生涯规划指导、就业指导和大学生心理健康咨询的开展情况，对家庭经济困难学生的资助情况等。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微软雅黑" w:hAnsi="微软雅黑" w:eastAsia="微软雅黑" w:cs="微软雅黑"/>
          <w:b w:val="0"/>
          <w:bCs w:val="0"/>
          <w:sz w:val="32"/>
          <w:szCs w:val="32"/>
          <w:lang w:val="en-US" w:eastAsia="zh-CN"/>
        </w:rPr>
        <w:t>③</w:t>
      </w:r>
      <w:r>
        <w:rPr>
          <w:rFonts w:hint="eastAsia" w:ascii="仿宋_GB2312" w:hAnsi="仿宋_GB2312" w:eastAsia="仿宋_GB2312" w:cs="仿宋_GB2312"/>
          <w:b w:val="0"/>
          <w:bCs w:val="0"/>
          <w:sz w:val="32"/>
          <w:szCs w:val="32"/>
          <w:lang w:val="en-US" w:eastAsia="zh-CN"/>
        </w:rPr>
        <w:t>可选择阐述学院（专业）探索学生成长增值评价，不仅关注学生学习过程的最后产出，更看重学习过程所带来的增长情况；学院注重学生学习体验，培养学生自我发展能力和职业发展能力的具体措施与实施成效。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列出能够证明上述自评结果的相关材料目录索引，如学院制订的学生发展支持服务方面的制度文件；开展学生成长增值评价、学习体验等的相关材料。</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5.5 存在的问题、原因分析及下一步整改举措</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重点阐述：</w:t>
      </w:r>
      <w:r>
        <w:rPr>
          <w:rFonts w:hint="eastAsia" w:ascii="仿宋_GB2312" w:hAnsi="仿宋_GB2312" w:eastAsia="仿宋_GB2312" w:cs="仿宋_GB2312"/>
          <w:b w:val="0"/>
          <w:bCs w:val="0"/>
          <w:sz w:val="32"/>
          <w:szCs w:val="32"/>
          <w:lang w:val="en-US" w:eastAsia="zh-CN"/>
        </w:rPr>
        <w:t>对照国家的各项要求，分析学校在坚持以学生为中心，促进学生发展方面存在的主要问题是什么？问题表现是什么？产生问题的根源是什么？以及下一步如何改进。</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6.质量保障</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6.1 质量管理</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重点阐述</w:t>
      </w:r>
      <w:r>
        <w:rPr>
          <w:rFonts w:hint="eastAsia" w:ascii="仿宋_GB2312" w:hAnsi="仿宋_GB2312" w:eastAsia="仿宋_GB2312" w:cs="仿宋_GB2312"/>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①专业根据办学定位和人才培养目标，构建的各教学环节（课堂教学、实习、实验、毕业设计等）的质量标准情况；质量管理制度文件的制订及执行情况；学院质量保障机构设置及质量监控、督导队伍建设情况。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微软雅黑" w:hAnsi="微软雅黑" w:eastAsia="微软雅黑" w:cs="微软雅黑"/>
          <w:b w:val="0"/>
          <w:bCs w:val="0"/>
          <w:sz w:val="32"/>
          <w:szCs w:val="32"/>
          <w:lang w:val="en-US" w:eastAsia="zh-CN"/>
        </w:rPr>
        <w:t>②</w:t>
      </w:r>
      <w:r>
        <w:rPr>
          <w:rFonts w:hint="default" w:ascii="仿宋_GB2312" w:hAnsi="仿宋_GB2312" w:eastAsia="仿宋_GB2312" w:cs="仿宋_GB2312"/>
          <w:b w:val="0"/>
          <w:bCs w:val="0"/>
          <w:sz w:val="32"/>
          <w:szCs w:val="32"/>
          <w:lang w:val="en-US" w:eastAsia="zh-CN"/>
        </w:rPr>
        <w:t>学</w:t>
      </w:r>
      <w:r>
        <w:rPr>
          <w:rFonts w:hint="eastAsia" w:ascii="仿宋_GB2312" w:hAnsi="仿宋_GB2312" w:eastAsia="仿宋_GB2312" w:cs="仿宋_GB2312"/>
          <w:b w:val="0"/>
          <w:bCs w:val="0"/>
          <w:sz w:val="32"/>
          <w:szCs w:val="32"/>
          <w:lang w:val="en-US" w:eastAsia="zh-CN"/>
        </w:rPr>
        <w:t>院（专业）</w:t>
      </w:r>
      <w:r>
        <w:rPr>
          <w:rFonts w:hint="default" w:ascii="仿宋_GB2312" w:hAnsi="仿宋_GB2312" w:eastAsia="仿宋_GB2312" w:cs="仿宋_GB2312"/>
          <w:b w:val="0"/>
          <w:bCs w:val="0"/>
          <w:sz w:val="32"/>
          <w:szCs w:val="32"/>
          <w:lang w:val="en-US" w:eastAsia="zh-CN"/>
        </w:rPr>
        <w:t>加强考风建设，出台的加强考试管理、严肃考试纪律的制度文件及执行情况</w:t>
      </w:r>
      <w:r>
        <w:rPr>
          <w:rFonts w:hint="eastAsia" w:ascii="仿宋_GB2312" w:hAnsi="仿宋_GB2312" w:eastAsia="仿宋_GB2312" w:cs="仿宋_GB2312"/>
          <w:b w:val="0"/>
          <w:bCs w:val="0"/>
          <w:sz w:val="32"/>
          <w:szCs w:val="32"/>
          <w:lang w:val="en-US" w:eastAsia="zh-CN"/>
        </w:rPr>
        <w:t>；专业</w:t>
      </w:r>
      <w:r>
        <w:rPr>
          <w:rFonts w:hint="default" w:ascii="仿宋_GB2312" w:hAnsi="仿宋_GB2312" w:eastAsia="仿宋_GB2312" w:cs="仿宋_GB2312"/>
          <w:b w:val="0"/>
          <w:bCs w:val="0"/>
          <w:sz w:val="32"/>
          <w:szCs w:val="32"/>
          <w:lang w:val="en-US" w:eastAsia="zh-CN"/>
        </w:rPr>
        <w:t>加强过程性考核与结果性考核有机结合，能力与知识考核并重的多元化学业考核评价体系的情况</w:t>
      </w:r>
      <w:r>
        <w:rPr>
          <w:rFonts w:hint="eastAsia" w:ascii="仿宋_GB2312" w:hAnsi="仿宋_GB2312" w:eastAsia="仿宋_GB2312" w:cs="仿宋_GB2312"/>
          <w:b w:val="0"/>
          <w:bCs w:val="0"/>
          <w:sz w:val="32"/>
          <w:szCs w:val="32"/>
          <w:lang w:val="en-US" w:eastAsia="zh-CN"/>
        </w:rPr>
        <w:t>；专业</w:t>
      </w:r>
      <w:r>
        <w:rPr>
          <w:rFonts w:hint="default" w:ascii="仿宋_GB2312" w:hAnsi="仿宋_GB2312" w:eastAsia="仿宋_GB2312" w:cs="仿宋_GB2312"/>
          <w:b w:val="0"/>
          <w:bCs w:val="0"/>
          <w:sz w:val="32"/>
          <w:szCs w:val="32"/>
          <w:lang w:val="en-US" w:eastAsia="zh-CN"/>
        </w:rPr>
        <w:t>对毕业论文</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设计</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选题、开题、答辩等环节的全过程管理，严把毕业出口关等情况。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val="0"/>
          <w:bCs w:val="0"/>
          <w:sz w:val="32"/>
          <w:szCs w:val="32"/>
          <w:lang w:val="en-US" w:eastAsia="zh-CN"/>
        </w:rPr>
        <w:t>列出能够证明上述自评结果的相关材料目录索引，如</w:t>
      </w:r>
      <w:r>
        <w:rPr>
          <w:rFonts w:hint="eastAsia" w:ascii="仿宋_GB2312" w:hAnsi="仿宋_GB2312" w:eastAsia="仿宋_GB2312" w:cs="仿宋_GB2312"/>
          <w:b w:val="0"/>
          <w:bCs w:val="0"/>
          <w:sz w:val="32"/>
          <w:szCs w:val="32"/>
          <w:lang w:val="en-US" w:eastAsia="zh-CN"/>
        </w:rPr>
        <w:t>学院（专业）</w:t>
      </w:r>
      <w:r>
        <w:rPr>
          <w:rFonts w:hint="default" w:ascii="仿宋_GB2312" w:hAnsi="仿宋_GB2312" w:eastAsia="仿宋_GB2312" w:cs="仿宋_GB2312"/>
          <w:b w:val="0"/>
          <w:bCs w:val="0"/>
          <w:sz w:val="32"/>
          <w:szCs w:val="32"/>
          <w:lang w:val="en-US" w:eastAsia="zh-CN"/>
        </w:rPr>
        <w:t>严格考试管理、端正考纪考风方面的材料等。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6.2质量改进</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重点阐述</w:t>
      </w:r>
      <w:r>
        <w:rPr>
          <w:rFonts w:hint="eastAsia" w:ascii="仿宋_GB2312" w:hAnsi="仿宋_GB2312" w:eastAsia="仿宋_GB2312" w:cs="仿宋_GB2312"/>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w:t>
      </w:r>
      <w:r>
        <w:rPr>
          <w:rFonts w:hint="default" w:ascii="仿宋_GB2312" w:hAnsi="仿宋_GB2312" w:eastAsia="仿宋_GB2312" w:cs="仿宋_GB2312"/>
          <w:b w:val="0"/>
          <w:bCs w:val="0"/>
          <w:sz w:val="32"/>
          <w:szCs w:val="32"/>
          <w:lang w:val="en-US" w:eastAsia="zh-CN"/>
        </w:rPr>
        <w:t>学</w:t>
      </w:r>
      <w:r>
        <w:rPr>
          <w:rFonts w:hint="eastAsia" w:ascii="仿宋_GB2312" w:hAnsi="仿宋_GB2312" w:eastAsia="仿宋_GB2312" w:cs="仿宋_GB2312"/>
          <w:b w:val="0"/>
          <w:bCs w:val="0"/>
          <w:sz w:val="32"/>
          <w:szCs w:val="32"/>
          <w:lang w:val="en-US" w:eastAsia="zh-CN"/>
        </w:rPr>
        <w:t>院</w:t>
      </w:r>
      <w:r>
        <w:rPr>
          <w:rFonts w:hint="default" w:ascii="仿宋_GB2312" w:hAnsi="仿宋_GB2312" w:eastAsia="仿宋_GB2312" w:cs="仿宋_GB2312"/>
          <w:b w:val="0"/>
          <w:bCs w:val="0"/>
          <w:sz w:val="32"/>
          <w:szCs w:val="32"/>
          <w:lang w:val="en-US" w:eastAsia="zh-CN"/>
        </w:rPr>
        <w:t>对教学质量存在的问题进行分析并制定改进的措施及落实效果。</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w:t>
      </w:r>
      <w:r>
        <w:rPr>
          <w:rFonts w:hint="default" w:ascii="仿宋_GB2312" w:hAnsi="仿宋_GB2312" w:eastAsia="仿宋_GB2312" w:cs="仿宋_GB2312"/>
          <w:b w:val="0"/>
          <w:bCs w:val="0"/>
          <w:sz w:val="32"/>
          <w:szCs w:val="32"/>
          <w:lang w:val="en-US" w:eastAsia="zh-CN"/>
        </w:rPr>
        <w:t>学</w:t>
      </w:r>
      <w:r>
        <w:rPr>
          <w:rFonts w:hint="eastAsia" w:ascii="仿宋_GB2312" w:hAnsi="仿宋_GB2312" w:eastAsia="仿宋_GB2312" w:cs="仿宋_GB2312"/>
          <w:b w:val="0"/>
          <w:bCs w:val="0"/>
          <w:sz w:val="32"/>
          <w:szCs w:val="32"/>
          <w:lang w:val="en-US" w:eastAsia="zh-CN"/>
        </w:rPr>
        <w:t>院</w:t>
      </w:r>
      <w:r>
        <w:rPr>
          <w:rFonts w:hint="default" w:ascii="仿宋_GB2312" w:hAnsi="仿宋_GB2312" w:eastAsia="仿宋_GB2312" w:cs="仿宋_GB2312"/>
          <w:b w:val="0"/>
          <w:bCs w:val="0"/>
          <w:sz w:val="32"/>
          <w:szCs w:val="32"/>
          <w:lang w:val="en-US" w:eastAsia="zh-CN"/>
        </w:rPr>
        <w:t>建立的质量持续改进机制并持续运行情况</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对内部、外部教育教学评估中存在的问题，制定纠正与改进方案和措施，配备资源，进行质量改进，并对纠正与改进措施的有效性适时进行评价情况</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质量改进取得的成效。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val="0"/>
          <w:bCs w:val="0"/>
          <w:sz w:val="32"/>
          <w:szCs w:val="32"/>
          <w:lang w:val="en-US" w:eastAsia="zh-CN"/>
        </w:rPr>
        <w:t>列出能够证明上述自评结果的相关材料目录索引，如学</w:t>
      </w:r>
      <w:r>
        <w:rPr>
          <w:rFonts w:hint="eastAsia" w:ascii="仿宋_GB2312" w:hAnsi="仿宋_GB2312" w:eastAsia="仿宋_GB2312" w:cs="仿宋_GB2312"/>
          <w:b w:val="0"/>
          <w:bCs w:val="0"/>
          <w:sz w:val="32"/>
          <w:szCs w:val="32"/>
          <w:lang w:val="en-US" w:eastAsia="zh-CN"/>
        </w:rPr>
        <w:t>院</w:t>
      </w:r>
      <w:r>
        <w:rPr>
          <w:rFonts w:hint="default" w:ascii="仿宋_GB2312" w:hAnsi="仿宋_GB2312" w:eastAsia="仿宋_GB2312" w:cs="仿宋_GB2312"/>
          <w:b w:val="0"/>
          <w:bCs w:val="0"/>
          <w:sz w:val="32"/>
          <w:szCs w:val="32"/>
          <w:lang w:val="en-US" w:eastAsia="zh-CN"/>
        </w:rPr>
        <w:t>制订的质量改进制度文件</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学院教学工作评估、专业评估、课程评估等相关资料</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学</w:t>
      </w:r>
      <w:r>
        <w:rPr>
          <w:rFonts w:hint="eastAsia" w:ascii="仿宋_GB2312" w:hAnsi="仿宋_GB2312" w:eastAsia="仿宋_GB2312" w:cs="仿宋_GB2312"/>
          <w:b w:val="0"/>
          <w:bCs w:val="0"/>
          <w:sz w:val="32"/>
          <w:szCs w:val="32"/>
          <w:lang w:val="en-US" w:eastAsia="zh-CN"/>
        </w:rPr>
        <w:t>院</w:t>
      </w:r>
      <w:r>
        <w:rPr>
          <w:rFonts w:hint="default" w:ascii="仿宋_GB2312" w:hAnsi="仿宋_GB2312" w:eastAsia="仿宋_GB2312" w:cs="仿宋_GB2312"/>
          <w:b w:val="0"/>
          <w:bCs w:val="0"/>
          <w:sz w:val="32"/>
          <w:szCs w:val="32"/>
          <w:lang w:val="en-US" w:eastAsia="zh-CN"/>
        </w:rPr>
        <w:t>接受院校评估、专业认证、第三方评估等有关情况质量改进及对纠正与改进措施的有效性评价的有关资料</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6.3质量文化</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重点阐述</w:t>
      </w:r>
      <w:r>
        <w:rPr>
          <w:rFonts w:hint="eastAsia" w:ascii="仿宋_GB2312" w:hAnsi="仿宋_GB2312" w:eastAsia="仿宋_GB2312" w:cs="仿宋_GB2312"/>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w:t>
      </w:r>
      <w:r>
        <w:rPr>
          <w:rFonts w:hint="default" w:ascii="仿宋_GB2312" w:hAnsi="仿宋_GB2312" w:eastAsia="仿宋_GB2312" w:cs="仿宋_GB2312"/>
          <w:b w:val="0"/>
          <w:bCs w:val="0"/>
          <w:sz w:val="32"/>
          <w:szCs w:val="32"/>
          <w:lang w:val="en-US" w:eastAsia="zh-CN"/>
        </w:rPr>
        <w:t>学</w:t>
      </w:r>
      <w:r>
        <w:rPr>
          <w:rFonts w:hint="eastAsia" w:ascii="仿宋_GB2312" w:hAnsi="仿宋_GB2312" w:eastAsia="仿宋_GB2312" w:cs="仿宋_GB2312"/>
          <w:b w:val="0"/>
          <w:bCs w:val="0"/>
          <w:sz w:val="32"/>
          <w:szCs w:val="32"/>
          <w:lang w:val="en-US" w:eastAsia="zh-CN"/>
        </w:rPr>
        <w:t>院</w:t>
      </w:r>
      <w:r>
        <w:rPr>
          <w:rFonts w:hint="default" w:ascii="仿宋_GB2312" w:hAnsi="仿宋_GB2312" w:eastAsia="仿宋_GB2312" w:cs="仿宋_GB2312"/>
          <w:b w:val="0"/>
          <w:bCs w:val="0"/>
          <w:sz w:val="32"/>
          <w:szCs w:val="32"/>
          <w:lang w:val="en-US" w:eastAsia="zh-CN"/>
        </w:rPr>
        <w:t>加强自觉、自省、自律、自查、自纠的质量文化建设情况</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将质量意识、质量标准、质量评价、质量管理等落实到教育教学各环节措施与取得的成效</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w:t>
      </w:r>
      <w:r>
        <w:rPr>
          <w:rFonts w:hint="default" w:ascii="仿宋_GB2312" w:hAnsi="仿宋_GB2312" w:eastAsia="仿宋_GB2312" w:cs="仿宋_GB2312"/>
          <w:b w:val="0"/>
          <w:bCs w:val="0"/>
          <w:sz w:val="32"/>
          <w:szCs w:val="32"/>
          <w:lang w:val="en-US" w:eastAsia="zh-CN"/>
        </w:rPr>
        <w:t>各专业培养目标、毕业要求、课程教学大纲公开的途径及面向师生宣贯的成效</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val="0"/>
          <w:bCs w:val="0"/>
          <w:sz w:val="32"/>
          <w:szCs w:val="32"/>
          <w:lang w:val="en-US" w:eastAsia="zh-CN"/>
        </w:rPr>
        <w:t>列出能够证明上述自评结果的相关材料目录索引，如学校制订的加强质量文化建设的制度文件</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学校近三年发布的《本科教学质量报告》《就业质量年度报告》; 学校在质量文化建设方面的宣传报道等材料</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各专业培养目标、毕业要求、课程教学大纲等公开的载体、过程记录及体现宣贯成效的证明材料，具体材料视专家需要时提供。</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6.4存在的问题、原因分析及下一步整改举措</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重点阐述</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val="0"/>
          <w:bCs w:val="0"/>
          <w:sz w:val="32"/>
          <w:szCs w:val="32"/>
          <w:lang w:val="en-US" w:eastAsia="zh-CN"/>
        </w:rPr>
        <w:t>学校在质量保障体系建设与有效运行方面存在的主要问题是什么</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问题表现是什么</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产生问题的根源是什么</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以及下一步如何改进</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楷体_GB2312" w:hAnsi="楷体_GB2312" w:eastAsia="楷体_GB2312" w:cs="楷体_GB2312"/>
          <w:b/>
          <w:bCs/>
          <w:sz w:val="32"/>
          <w:szCs w:val="32"/>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楷体_GB2312" w:hAnsi="楷体_GB2312" w:eastAsia="楷体_GB2312" w:cs="楷体_GB2312"/>
          <w:b/>
          <w:bCs/>
          <w:sz w:val="32"/>
          <w:szCs w:val="32"/>
          <w:highlight w:val="yellow"/>
          <w:lang w:val="en-US" w:eastAsia="zh-CN"/>
        </w:rPr>
      </w:pPr>
      <w:r>
        <w:rPr>
          <w:rFonts w:hint="eastAsia" w:ascii="楷体_GB2312" w:hAnsi="楷体_GB2312" w:eastAsia="楷体_GB2312" w:cs="楷体_GB2312"/>
          <w:b/>
          <w:bCs/>
          <w:sz w:val="32"/>
          <w:szCs w:val="32"/>
          <w:highlight w:val="none"/>
          <w:lang w:val="en-US" w:eastAsia="zh-CN"/>
        </w:rPr>
        <w:t>7.教学成效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7.1达成度</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①专业人才培养目标的达成评价办法、评价重点以及评价的结论。</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default"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highlight w:val="none"/>
          <w:lang w:val="en-US" w:eastAsia="zh-CN"/>
        </w:rPr>
        <w:t>②毕业生质量持续跟踪评价机制建立及实施情况；近三年毕业生质量持续跟踪评价结果。</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列出能够证明上述自评结果的相关材料目录索引，如学院对毕业生质量持续跟踪评价的制度文件；对毕业生职业发展、用人单位以及各利益相关方的跟踪调查资料等。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7.2适应度</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①</w:t>
      </w:r>
      <w:r>
        <w:rPr>
          <w:rFonts w:hint="eastAsia" w:ascii="仿宋_GB2312" w:hAnsi="仿宋_GB2312" w:eastAsia="仿宋_GB2312" w:cs="仿宋_GB2312"/>
          <w:b w:val="0"/>
          <w:bCs w:val="0"/>
          <w:sz w:val="32"/>
          <w:szCs w:val="32"/>
          <w:highlight w:val="none"/>
          <w:lang w:val="en-US" w:eastAsia="zh-CN"/>
        </w:rPr>
        <w:t>学院（专业）近三年本科生生源培养情况分析。</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②学院（专业）近三年本科毕业生的就业情况、就业质量分析。阐述毕业生面向国家和经济社会发展需要就业情况、就业质量和职业发展情况。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支撑材料目录：</w:t>
      </w:r>
      <w:r>
        <w:rPr>
          <w:rFonts w:hint="eastAsia" w:ascii="仿宋_GB2312" w:hAnsi="仿宋_GB2312" w:eastAsia="仿宋_GB2312" w:cs="仿宋_GB2312"/>
          <w:b w:val="0"/>
          <w:bCs w:val="0"/>
          <w:sz w:val="32"/>
          <w:szCs w:val="32"/>
          <w:highlight w:val="none"/>
          <w:lang w:val="en-US" w:eastAsia="zh-CN"/>
        </w:rPr>
        <w:t xml:space="preserve">列出能够证明上述自评结果的相关材料目录索引，如学院近三年本科生源质量分析报告；学院近三年本科毕业生就业质量报告。   </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7.3保障度</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①学院近三年教学经费投入情况；相关资源条件建设情况。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20"/>
        <w:jc w:val="both"/>
        <w:textAlignment w:val="auto"/>
        <w:rPr>
          <w:rFonts w:hint="eastAsia" w:ascii="仿宋_GB2312" w:hAnsi="仿宋_GB2312" w:eastAsia="仿宋_GB2312" w:cs="仿宋_GB2312"/>
          <w:b w:val="0"/>
          <w:bCs w:val="0"/>
          <w:sz w:val="32"/>
          <w:szCs w:val="32"/>
          <w:lang w:val="en-US" w:eastAsia="zh-CN"/>
        </w:rPr>
      </w:pPr>
      <w:r>
        <w:rPr>
          <w:rFonts w:hint="eastAsia" w:ascii="微软雅黑" w:hAnsi="微软雅黑" w:eastAsia="微软雅黑" w:cs="微软雅黑"/>
          <w:b w:val="0"/>
          <w:bCs w:val="0"/>
          <w:sz w:val="32"/>
          <w:szCs w:val="32"/>
          <w:lang w:val="en-US" w:eastAsia="zh-CN"/>
        </w:rPr>
        <w:t>②</w:t>
      </w:r>
      <w:r>
        <w:rPr>
          <w:rFonts w:hint="eastAsia" w:ascii="仿宋_GB2312" w:hAnsi="仿宋_GB2312" w:eastAsia="仿宋_GB2312" w:cs="仿宋_GB2312"/>
          <w:b w:val="0"/>
          <w:bCs w:val="0"/>
          <w:sz w:val="32"/>
          <w:szCs w:val="32"/>
          <w:lang w:val="en-US" w:eastAsia="zh-CN"/>
        </w:rPr>
        <w:t>专业教师的数量、结构、教学水平、产学研用能力、国际视野、教学投入情况及满足人才培养需要情况。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列出能够证明上述自评结果的相关材料目录索引，如学院教学经费、其他条件建设材料、教师名册等。</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7.4有效度</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重点阐述：</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①学院人才培养各要素方面规章制度的有效运行情况。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②学院针对质量监控、质量评估和质量分析中发现问题的持续改进情况，可分析比较学校近三年人才培养核心数据的变化趋势、判断人才培养工作持续改进、持续提升的效果。</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③列出近五年专业领域的优秀毕业生的典型案例，总结其培养经验。</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val="0"/>
          <w:bCs w:val="0"/>
          <w:sz w:val="32"/>
          <w:szCs w:val="32"/>
          <w:lang w:val="en-US" w:eastAsia="zh-CN"/>
        </w:rPr>
        <w:t>列出能够证明上述自评结果的相关材料目录索引，如对人才培养各环节监控、检查资料；近三年人才培养核心数据统计资料；优秀毕业生典型案例及其有关的宣传报道情况。</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7.5满意度</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重点阐述</w:t>
      </w:r>
      <w:r>
        <w:rPr>
          <w:rFonts w:hint="eastAsia" w:ascii="仿宋_GB2312" w:hAnsi="仿宋_GB2312" w:eastAsia="仿宋_GB2312" w:cs="仿宋_GB2312"/>
          <w:b/>
          <w:bCs/>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①学院</w:t>
      </w:r>
      <w:r>
        <w:rPr>
          <w:rFonts w:hint="default" w:ascii="仿宋_GB2312" w:hAnsi="仿宋_GB2312" w:eastAsia="仿宋_GB2312" w:cs="仿宋_GB2312"/>
          <w:b w:val="0"/>
          <w:bCs w:val="0"/>
          <w:sz w:val="32"/>
          <w:szCs w:val="32"/>
          <w:highlight w:val="none"/>
          <w:lang w:val="en-US" w:eastAsia="zh-CN"/>
        </w:rPr>
        <w:t>开展的对在校生和毕业生学习与成长满意度的调查情况及结论</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②</w:t>
      </w:r>
      <w:r>
        <w:rPr>
          <w:rFonts w:hint="default" w:ascii="仿宋_GB2312" w:hAnsi="仿宋_GB2312" w:eastAsia="仿宋_GB2312" w:cs="仿宋_GB2312"/>
          <w:b w:val="0"/>
          <w:bCs w:val="0"/>
          <w:sz w:val="32"/>
          <w:szCs w:val="32"/>
          <w:highlight w:val="none"/>
          <w:lang w:val="en-US" w:eastAsia="zh-CN"/>
        </w:rPr>
        <w:t>学</w:t>
      </w:r>
      <w:r>
        <w:rPr>
          <w:rFonts w:hint="eastAsia" w:ascii="仿宋_GB2312" w:hAnsi="仿宋_GB2312" w:eastAsia="仿宋_GB2312" w:cs="仿宋_GB2312"/>
          <w:b w:val="0"/>
          <w:bCs w:val="0"/>
          <w:sz w:val="32"/>
          <w:szCs w:val="32"/>
          <w:highlight w:val="none"/>
          <w:lang w:val="en-US" w:eastAsia="zh-CN"/>
        </w:rPr>
        <w:t>院</w:t>
      </w:r>
      <w:r>
        <w:rPr>
          <w:rFonts w:hint="default" w:ascii="仿宋_GB2312" w:hAnsi="仿宋_GB2312" w:eastAsia="仿宋_GB2312" w:cs="仿宋_GB2312"/>
          <w:b w:val="0"/>
          <w:bCs w:val="0"/>
          <w:sz w:val="32"/>
          <w:szCs w:val="32"/>
          <w:highlight w:val="none"/>
          <w:lang w:val="en-US" w:eastAsia="zh-CN"/>
        </w:rPr>
        <w:t>开展的教师对教育教学工作满意度的调查情况及结论。</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③</w:t>
      </w:r>
      <w:r>
        <w:rPr>
          <w:rFonts w:hint="default" w:ascii="仿宋_GB2312" w:hAnsi="仿宋_GB2312" w:eastAsia="仿宋_GB2312" w:cs="仿宋_GB2312"/>
          <w:b w:val="0"/>
          <w:bCs w:val="0"/>
          <w:sz w:val="32"/>
          <w:szCs w:val="32"/>
          <w:highlight w:val="none"/>
          <w:lang w:val="en-US" w:eastAsia="zh-CN"/>
        </w:rPr>
        <w:t>学</w:t>
      </w:r>
      <w:r>
        <w:rPr>
          <w:rFonts w:hint="eastAsia" w:ascii="仿宋_GB2312" w:hAnsi="仿宋_GB2312" w:eastAsia="仿宋_GB2312" w:cs="仿宋_GB2312"/>
          <w:b w:val="0"/>
          <w:bCs w:val="0"/>
          <w:sz w:val="32"/>
          <w:szCs w:val="32"/>
          <w:highlight w:val="none"/>
          <w:lang w:val="en-US" w:eastAsia="zh-CN"/>
        </w:rPr>
        <w:t>院</w:t>
      </w:r>
      <w:r>
        <w:rPr>
          <w:rFonts w:hint="default" w:ascii="仿宋_GB2312" w:hAnsi="仿宋_GB2312" w:eastAsia="仿宋_GB2312" w:cs="仿宋_GB2312"/>
          <w:b w:val="0"/>
          <w:bCs w:val="0"/>
          <w:sz w:val="32"/>
          <w:szCs w:val="32"/>
          <w:highlight w:val="none"/>
          <w:lang w:val="en-US" w:eastAsia="zh-CN"/>
        </w:rPr>
        <w:t>开展的用人单位对毕业生满意度调查情况及结论。</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支撑材料目录</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val="0"/>
          <w:bCs w:val="0"/>
          <w:sz w:val="32"/>
          <w:szCs w:val="32"/>
          <w:lang w:val="en-US" w:eastAsia="zh-CN"/>
        </w:rPr>
        <w:t>列出能够证明上述自评结果的相关材料目录索引，如学</w:t>
      </w:r>
      <w:r>
        <w:rPr>
          <w:rFonts w:hint="eastAsia" w:ascii="仿宋_GB2312" w:hAnsi="仿宋_GB2312" w:eastAsia="仿宋_GB2312" w:cs="仿宋_GB2312"/>
          <w:b w:val="0"/>
          <w:bCs w:val="0"/>
          <w:sz w:val="32"/>
          <w:szCs w:val="32"/>
          <w:lang w:val="en-US" w:eastAsia="zh-CN"/>
        </w:rPr>
        <w:t>院</w:t>
      </w:r>
      <w:r>
        <w:rPr>
          <w:rFonts w:hint="default" w:ascii="仿宋_GB2312" w:hAnsi="仿宋_GB2312" w:eastAsia="仿宋_GB2312" w:cs="仿宋_GB2312"/>
          <w:b w:val="0"/>
          <w:bCs w:val="0"/>
          <w:sz w:val="32"/>
          <w:szCs w:val="32"/>
          <w:lang w:val="en-US" w:eastAsia="zh-CN"/>
        </w:rPr>
        <w:t>定期开展的在校生和毕业生座谈会、教师座谈会、用人单位座谈会和问卷调查材料</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学生、教师对教学、管理、服务提出的意见和建议</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社会用人单位对毕业生的评价及其对学校专业设置、培养目标、培养规格、培养方案、教学方法改进提出的意见等</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7.6 存在的问题、原因分析及下一步整改举措</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重点阐述</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val="0"/>
          <w:bCs w:val="0"/>
          <w:sz w:val="32"/>
          <w:szCs w:val="32"/>
          <w:lang w:val="en-US" w:eastAsia="zh-CN"/>
        </w:rPr>
        <w:t>对照学校人才培养目标要求，分析</w:t>
      </w:r>
      <w:r>
        <w:rPr>
          <w:rFonts w:hint="eastAsia" w:ascii="仿宋_GB2312" w:hAnsi="仿宋_GB2312" w:eastAsia="仿宋_GB2312" w:cs="仿宋_GB2312"/>
          <w:b w:val="0"/>
          <w:bCs w:val="0"/>
          <w:sz w:val="32"/>
          <w:szCs w:val="32"/>
          <w:lang w:val="en-US" w:eastAsia="zh-CN"/>
        </w:rPr>
        <w:t>学院</w:t>
      </w:r>
      <w:r>
        <w:rPr>
          <w:rFonts w:hint="default" w:ascii="仿宋_GB2312" w:hAnsi="仿宋_GB2312" w:eastAsia="仿宋_GB2312" w:cs="仿宋_GB2312"/>
          <w:b w:val="0"/>
          <w:bCs w:val="0"/>
          <w:sz w:val="32"/>
          <w:szCs w:val="32"/>
          <w:lang w:val="en-US" w:eastAsia="zh-CN"/>
        </w:rPr>
        <w:t>在教学成效的“五个度”方面存在的主要问题是什么</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问题表现是什么</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产生问题的根源是什么</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以及下一步如何改进。</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附件1：本科教育教学自评问题清单</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问题清单表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Merge w:val="restart"/>
            <w:vAlign w:val="center"/>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问题序号</w:t>
            </w:r>
          </w:p>
        </w:tc>
        <w:tc>
          <w:tcPr>
            <w:tcW w:w="4644" w:type="dxa"/>
            <w:gridSpan w:val="2"/>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对应的审核指标</w:t>
            </w:r>
          </w:p>
        </w:tc>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问题简明表述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Merge w:val="continue"/>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一级指标</w:t>
            </w:r>
          </w:p>
        </w:tc>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二级指标</w:t>
            </w:r>
          </w:p>
        </w:tc>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c>
          <w:tcPr>
            <w:tcW w:w="2322" w:type="dxa"/>
          </w:tcPr>
          <w:p>
            <w:pPr>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default"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jc w:val="center"/>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附件2：支撑材料目录（参考）</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仿宋_GB2312" w:hAnsi="仿宋_GB2312" w:eastAsia="仿宋_GB2312" w:cs="仿宋_GB2312"/>
          <w:b/>
          <w:bCs/>
          <w:sz w:val="32"/>
          <w:szCs w:val="32"/>
          <w:lang w:val="en-US" w:eastAsia="zh-CN"/>
        </w:rPr>
      </w:pPr>
      <w:bookmarkStart w:id="0" w:name="_GoBack"/>
      <w:bookmarkEnd w:id="0"/>
    </w:p>
    <w:p>
      <w:pPr>
        <w:spacing w:before="156" w:beforeLines="50" w:after="312" w:afterLines="100" w:line="500" w:lineRule="exact"/>
        <w:jc w:val="center"/>
        <w:rPr>
          <w:rFonts w:hint="eastAsia" w:ascii="黑体" w:eastAsia="黑体"/>
          <w:sz w:val="36"/>
          <w:szCs w:val="36"/>
        </w:rPr>
      </w:pPr>
      <w:r>
        <w:rPr>
          <w:rFonts w:hint="eastAsia" w:ascii="黑体" w:eastAsia="黑体"/>
          <w:sz w:val="36"/>
          <w:szCs w:val="36"/>
        </w:rPr>
        <w:t>“1.</w:t>
      </w:r>
      <w:r>
        <w:rPr>
          <w:rFonts w:hint="eastAsia" w:ascii="黑体" w:eastAsia="黑体"/>
          <w:sz w:val="36"/>
          <w:szCs w:val="36"/>
          <w:lang w:val="en-US" w:eastAsia="zh-CN"/>
        </w:rPr>
        <w:t>1党的领导</w:t>
      </w:r>
      <w:r>
        <w:rPr>
          <w:rFonts w:hint="eastAsia" w:ascii="黑体" w:eastAsia="黑体"/>
          <w:sz w:val="36"/>
          <w:szCs w:val="36"/>
        </w:rPr>
        <w:t>”支撑材料目录</w:t>
      </w:r>
    </w:p>
    <w:tbl>
      <w:tblPr>
        <w:tblStyle w:val="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3406"/>
        <w:gridCol w:w="1417"/>
        <w:gridCol w:w="173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91" w:type="dxa"/>
            <w:noWrap w:val="0"/>
            <w:vAlign w:val="center"/>
          </w:tcPr>
          <w:p>
            <w:pPr>
              <w:spacing w:line="500" w:lineRule="exact"/>
              <w:jc w:val="center"/>
              <w:rPr>
                <w:rFonts w:hint="eastAsia" w:ascii="宋体" w:hAnsi="宋体"/>
                <w:b/>
                <w:sz w:val="28"/>
                <w:szCs w:val="28"/>
              </w:rPr>
            </w:pPr>
            <w:r>
              <w:rPr>
                <w:rFonts w:hint="eastAsia" w:ascii="宋体" w:hAnsi="宋体"/>
                <w:b/>
                <w:sz w:val="28"/>
                <w:szCs w:val="28"/>
              </w:rPr>
              <w:t>审核项目</w:t>
            </w:r>
          </w:p>
        </w:tc>
        <w:tc>
          <w:tcPr>
            <w:tcW w:w="3406" w:type="dxa"/>
            <w:noWrap w:val="0"/>
            <w:vAlign w:val="center"/>
          </w:tcPr>
          <w:p>
            <w:pPr>
              <w:spacing w:line="500" w:lineRule="exact"/>
              <w:jc w:val="center"/>
              <w:rPr>
                <w:rFonts w:hint="eastAsia" w:ascii="宋体" w:hAnsi="宋体" w:eastAsia="宋体"/>
                <w:sz w:val="28"/>
                <w:szCs w:val="28"/>
                <w:lang w:eastAsia="zh-CN"/>
              </w:rPr>
            </w:pPr>
            <w:r>
              <w:rPr>
                <w:rFonts w:hint="eastAsia" w:ascii="宋体" w:hAnsi="宋体"/>
                <w:sz w:val="28"/>
                <w:szCs w:val="28"/>
              </w:rPr>
              <w:t xml:space="preserve">1 </w:t>
            </w:r>
            <w:r>
              <w:rPr>
                <w:rFonts w:hint="eastAsia" w:ascii="宋体" w:hAnsi="宋体"/>
                <w:sz w:val="28"/>
                <w:szCs w:val="28"/>
                <w:lang w:eastAsia="zh-CN"/>
              </w:rPr>
              <w:t>办学方向与本科地位</w:t>
            </w:r>
          </w:p>
        </w:tc>
        <w:tc>
          <w:tcPr>
            <w:tcW w:w="1417" w:type="dxa"/>
            <w:noWrap w:val="0"/>
            <w:vAlign w:val="center"/>
          </w:tcPr>
          <w:p>
            <w:pPr>
              <w:spacing w:line="500" w:lineRule="exact"/>
              <w:jc w:val="center"/>
              <w:rPr>
                <w:rFonts w:hint="eastAsia" w:ascii="宋体" w:hAnsi="宋体"/>
                <w:b/>
                <w:sz w:val="28"/>
                <w:szCs w:val="28"/>
              </w:rPr>
            </w:pPr>
            <w:r>
              <w:rPr>
                <w:rFonts w:hint="eastAsia" w:ascii="宋体" w:hAnsi="宋体"/>
                <w:b/>
                <w:sz w:val="28"/>
                <w:szCs w:val="28"/>
              </w:rPr>
              <w:t>审核要素</w:t>
            </w:r>
          </w:p>
        </w:tc>
        <w:tc>
          <w:tcPr>
            <w:tcW w:w="3473" w:type="dxa"/>
            <w:gridSpan w:val="2"/>
            <w:noWrap w:val="0"/>
            <w:vAlign w:val="center"/>
          </w:tcPr>
          <w:p>
            <w:pPr>
              <w:spacing w:line="500" w:lineRule="exact"/>
              <w:jc w:val="center"/>
              <w:rPr>
                <w:rFonts w:hint="eastAsia" w:ascii="宋体" w:hAnsi="宋体" w:eastAsia="宋体"/>
                <w:sz w:val="28"/>
                <w:szCs w:val="28"/>
                <w:lang w:eastAsia="zh-CN"/>
              </w:rPr>
            </w:pPr>
            <w:r>
              <w:rPr>
                <w:rFonts w:hint="eastAsia" w:ascii="宋体" w:hAnsi="宋体"/>
                <w:sz w:val="28"/>
                <w:szCs w:val="28"/>
              </w:rPr>
              <w:t>1.1</w:t>
            </w:r>
            <w:r>
              <w:rPr>
                <w:rFonts w:hint="eastAsia" w:ascii="宋体" w:hAnsi="宋体"/>
                <w:sz w:val="28"/>
                <w:szCs w:val="28"/>
                <w:lang w:eastAsia="zh-CN"/>
              </w:rPr>
              <w:t>党的领导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591" w:type="dxa"/>
            <w:noWrap w:val="0"/>
            <w:vAlign w:val="center"/>
          </w:tcPr>
          <w:p>
            <w:pPr>
              <w:spacing w:line="500" w:lineRule="exact"/>
              <w:ind w:left="281" w:hanging="281" w:hangingChars="100"/>
              <w:jc w:val="center"/>
              <w:rPr>
                <w:rFonts w:hint="eastAsia" w:ascii="宋体" w:hAnsi="宋体"/>
                <w:b/>
                <w:sz w:val="28"/>
                <w:szCs w:val="28"/>
              </w:rPr>
            </w:pPr>
            <w:r>
              <w:rPr>
                <w:rFonts w:hint="eastAsia" w:ascii="宋体" w:hAnsi="宋体"/>
                <w:b/>
                <w:sz w:val="28"/>
                <w:szCs w:val="28"/>
              </w:rPr>
              <w:t>材料编号</w:t>
            </w:r>
          </w:p>
        </w:tc>
        <w:tc>
          <w:tcPr>
            <w:tcW w:w="6558" w:type="dxa"/>
            <w:gridSpan w:val="3"/>
            <w:noWrap w:val="0"/>
            <w:vAlign w:val="center"/>
          </w:tcPr>
          <w:p>
            <w:pPr>
              <w:spacing w:line="500" w:lineRule="exact"/>
              <w:ind w:left="281" w:hanging="281" w:hangingChars="100"/>
              <w:jc w:val="center"/>
              <w:rPr>
                <w:rFonts w:hint="eastAsia" w:ascii="宋体" w:hAnsi="宋体"/>
                <w:b/>
                <w:sz w:val="28"/>
                <w:szCs w:val="28"/>
              </w:rPr>
            </w:pPr>
            <w:r>
              <w:rPr>
                <w:rFonts w:hint="eastAsia" w:ascii="宋体" w:hAnsi="宋体"/>
                <w:b/>
                <w:sz w:val="28"/>
                <w:szCs w:val="28"/>
              </w:rPr>
              <w:t>材料名称</w:t>
            </w:r>
          </w:p>
        </w:tc>
        <w:tc>
          <w:tcPr>
            <w:tcW w:w="1738" w:type="dxa"/>
            <w:noWrap w:val="0"/>
            <w:vAlign w:val="center"/>
          </w:tcPr>
          <w:p>
            <w:pPr>
              <w:spacing w:line="500" w:lineRule="exact"/>
              <w:ind w:left="281" w:hanging="281" w:hangingChars="100"/>
              <w:jc w:val="center"/>
              <w:rPr>
                <w:rFonts w:hint="eastAsia" w:ascii="宋体" w:hAnsi="宋体"/>
                <w:sz w:val="28"/>
                <w:szCs w:val="28"/>
              </w:rPr>
            </w:pPr>
            <w:r>
              <w:rPr>
                <w:rFonts w:hint="eastAsia" w:ascii="宋体" w:hAnsi="宋体"/>
                <w:b/>
                <w:sz w:val="28"/>
                <w:szCs w:val="28"/>
              </w:rPr>
              <w:t>材料盒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1591" w:type="dxa"/>
            <w:noWrap w:val="0"/>
            <w:vAlign w:val="center"/>
          </w:tcPr>
          <w:p>
            <w:pPr>
              <w:spacing w:line="500" w:lineRule="exact"/>
              <w:jc w:val="center"/>
              <w:rPr>
                <w:sz w:val="24"/>
              </w:rPr>
            </w:pPr>
            <w:r>
              <w:rPr>
                <w:sz w:val="24"/>
              </w:rPr>
              <w:t>1</w:t>
            </w:r>
            <w:r>
              <w:rPr>
                <w:rFonts w:hint="eastAsia"/>
                <w:sz w:val="24"/>
              </w:rPr>
              <w:t>.1-1</w:t>
            </w:r>
          </w:p>
        </w:tc>
        <w:tc>
          <w:tcPr>
            <w:tcW w:w="6558" w:type="dxa"/>
            <w:gridSpan w:val="3"/>
            <w:noWrap w:val="0"/>
            <w:vAlign w:val="center"/>
          </w:tcPr>
          <w:p>
            <w:pPr>
              <w:pStyle w:val="3"/>
              <w:wordWrap/>
              <w:spacing w:line="500" w:lineRule="exact"/>
              <w:ind w:right="-304" w:rightChars="-145"/>
              <w:rPr>
                <w:rFonts w:hint="eastAsia" w:ascii="楷体_GB2312" w:hAnsi="Times New Roman" w:eastAsia="楷体_GB2312" w:cs="Times New Roman"/>
                <w:kern w:val="2"/>
                <w:sz w:val="28"/>
                <w:szCs w:val="28"/>
              </w:rPr>
            </w:pPr>
          </w:p>
        </w:tc>
        <w:tc>
          <w:tcPr>
            <w:tcW w:w="1738" w:type="dxa"/>
            <w:noWrap w:val="0"/>
            <w:vAlign w:val="center"/>
          </w:tcPr>
          <w:p>
            <w:pPr>
              <w:spacing w:line="500" w:lineRule="exact"/>
              <w:jc w:val="center"/>
              <w:rPr>
                <w:rFonts w:hint="eastAsia"/>
                <w:sz w:val="24"/>
              </w:rPr>
            </w:pPr>
            <w:r>
              <w:rPr>
                <w:rFonts w:hint="eastAsia"/>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591" w:type="dxa"/>
            <w:noWrap w:val="0"/>
            <w:vAlign w:val="center"/>
          </w:tcPr>
          <w:p>
            <w:pPr>
              <w:spacing w:line="500" w:lineRule="exact"/>
              <w:jc w:val="center"/>
              <w:rPr>
                <w:rFonts w:ascii="楷体_GB2312" w:eastAsia="楷体_GB2312"/>
                <w:sz w:val="28"/>
                <w:szCs w:val="28"/>
              </w:rPr>
            </w:pPr>
            <w:r>
              <w:rPr>
                <w:rFonts w:hint="eastAsia"/>
                <w:sz w:val="24"/>
              </w:rPr>
              <w:t>1.1-2</w:t>
            </w:r>
          </w:p>
        </w:tc>
        <w:tc>
          <w:tcPr>
            <w:tcW w:w="6558" w:type="dxa"/>
            <w:gridSpan w:val="3"/>
            <w:noWrap w:val="0"/>
            <w:vAlign w:val="center"/>
          </w:tcPr>
          <w:p>
            <w:pPr>
              <w:pStyle w:val="3"/>
              <w:wordWrap/>
              <w:spacing w:line="500" w:lineRule="exact"/>
              <w:ind w:right="-304" w:rightChars="-145"/>
              <w:jc w:val="both"/>
              <w:rPr>
                <w:rFonts w:hint="eastAsia" w:ascii="楷体_GB2312" w:hAnsi="Times New Roman" w:eastAsia="楷体_GB2312" w:cs="Times New Roman"/>
                <w:kern w:val="2"/>
                <w:sz w:val="28"/>
                <w:szCs w:val="28"/>
              </w:rPr>
            </w:pPr>
          </w:p>
        </w:tc>
        <w:tc>
          <w:tcPr>
            <w:tcW w:w="1738" w:type="dxa"/>
            <w:noWrap w:val="0"/>
            <w:vAlign w:val="center"/>
          </w:tcPr>
          <w:p>
            <w:pPr>
              <w:spacing w:line="500" w:lineRule="exact"/>
              <w:jc w:val="center"/>
              <w:rPr>
                <w:rFonts w:hint="eastAsia"/>
                <w:sz w:val="26"/>
                <w:szCs w:val="26"/>
              </w:rPr>
            </w:pPr>
            <w:r>
              <w:rPr>
                <w:rFonts w:hint="eastAsia"/>
                <w:sz w:val="26"/>
                <w:szCs w:val="26"/>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1591" w:type="dxa"/>
            <w:noWrap w:val="0"/>
            <w:vAlign w:val="center"/>
          </w:tcPr>
          <w:p>
            <w:pPr>
              <w:spacing w:line="276" w:lineRule="auto"/>
              <w:jc w:val="center"/>
              <w:rPr>
                <w:color w:val="000000"/>
                <w:sz w:val="24"/>
              </w:rPr>
            </w:pPr>
            <w:r>
              <w:rPr>
                <w:rFonts w:hint="eastAsia"/>
                <w:sz w:val="24"/>
              </w:rPr>
              <w:t>1.1-3</w:t>
            </w:r>
          </w:p>
        </w:tc>
        <w:tc>
          <w:tcPr>
            <w:tcW w:w="6558" w:type="dxa"/>
            <w:gridSpan w:val="3"/>
            <w:noWrap w:val="0"/>
            <w:vAlign w:val="center"/>
          </w:tcPr>
          <w:p>
            <w:pPr>
              <w:spacing w:line="500" w:lineRule="exact"/>
              <w:rPr>
                <w:rFonts w:hint="eastAsia" w:eastAsia="楷体_GB2312"/>
                <w:color w:val="FF0000"/>
                <w:sz w:val="28"/>
                <w:szCs w:val="28"/>
              </w:rPr>
            </w:pPr>
          </w:p>
        </w:tc>
        <w:tc>
          <w:tcPr>
            <w:tcW w:w="1738" w:type="dxa"/>
            <w:noWrap w:val="0"/>
            <w:vAlign w:val="center"/>
          </w:tcPr>
          <w:p>
            <w:pPr>
              <w:spacing w:line="276" w:lineRule="auto"/>
              <w:jc w:val="center"/>
              <w:rPr>
                <w:rFonts w:hint="eastAsia"/>
                <w:color w:val="000000"/>
                <w:sz w:val="26"/>
                <w:szCs w:val="26"/>
              </w:rPr>
            </w:pPr>
            <w:r>
              <w:rPr>
                <w:rFonts w:hint="eastAsia"/>
                <w:sz w:val="26"/>
                <w:szCs w:val="26"/>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1591" w:type="dxa"/>
            <w:noWrap w:val="0"/>
            <w:vAlign w:val="center"/>
          </w:tcPr>
          <w:p>
            <w:pPr>
              <w:spacing w:line="360" w:lineRule="auto"/>
              <w:ind w:left="240" w:hanging="240" w:hangingChars="100"/>
              <w:jc w:val="center"/>
              <w:rPr>
                <w:rFonts w:hint="eastAsia" w:ascii="宋体" w:hAnsi="宋体"/>
                <w:b/>
                <w:sz w:val="28"/>
                <w:szCs w:val="28"/>
              </w:rPr>
            </w:pPr>
            <w:r>
              <w:rPr>
                <w:rFonts w:hint="eastAsia"/>
                <w:sz w:val="24"/>
              </w:rPr>
              <w:t>1.1-4</w:t>
            </w:r>
          </w:p>
        </w:tc>
        <w:tc>
          <w:tcPr>
            <w:tcW w:w="6558" w:type="dxa"/>
            <w:gridSpan w:val="3"/>
            <w:noWrap w:val="0"/>
            <w:vAlign w:val="center"/>
          </w:tcPr>
          <w:p>
            <w:pPr>
              <w:spacing w:line="500" w:lineRule="exact"/>
              <w:rPr>
                <w:rFonts w:hint="eastAsia" w:eastAsia="楷体_GB2312"/>
                <w:color w:val="FF0000"/>
                <w:sz w:val="28"/>
                <w:szCs w:val="28"/>
              </w:rPr>
            </w:pPr>
          </w:p>
        </w:tc>
        <w:tc>
          <w:tcPr>
            <w:tcW w:w="1738" w:type="dxa"/>
            <w:noWrap w:val="0"/>
            <w:vAlign w:val="center"/>
          </w:tcPr>
          <w:p>
            <w:pPr>
              <w:spacing w:line="276" w:lineRule="auto"/>
              <w:jc w:val="center"/>
              <w:rPr>
                <w:rFonts w:hint="eastAsia"/>
                <w:color w:val="000000"/>
                <w:sz w:val="26"/>
                <w:szCs w:val="26"/>
              </w:rPr>
            </w:pPr>
            <w:r>
              <w:rPr>
                <w:rFonts w:hint="eastAsia"/>
                <w:sz w:val="26"/>
                <w:szCs w:val="26"/>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1591" w:type="dxa"/>
            <w:noWrap w:val="0"/>
            <w:vAlign w:val="center"/>
          </w:tcPr>
          <w:p>
            <w:pPr>
              <w:spacing w:line="360" w:lineRule="auto"/>
              <w:ind w:left="240" w:hanging="240" w:hangingChars="100"/>
              <w:jc w:val="center"/>
              <w:rPr>
                <w:rFonts w:hint="eastAsia"/>
                <w:color w:val="000000"/>
                <w:sz w:val="24"/>
              </w:rPr>
            </w:pPr>
            <w:r>
              <w:rPr>
                <w:rFonts w:hint="eastAsia"/>
                <w:sz w:val="24"/>
              </w:rPr>
              <w:t>1.1-5</w:t>
            </w:r>
          </w:p>
        </w:tc>
        <w:tc>
          <w:tcPr>
            <w:tcW w:w="6558" w:type="dxa"/>
            <w:gridSpan w:val="3"/>
            <w:noWrap w:val="0"/>
            <w:vAlign w:val="center"/>
          </w:tcPr>
          <w:p>
            <w:pPr>
              <w:spacing w:line="500" w:lineRule="exact"/>
              <w:rPr>
                <w:rFonts w:hint="eastAsia" w:eastAsia="楷体_GB2312"/>
                <w:color w:val="FF0000"/>
                <w:sz w:val="28"/>
                <w:szCs w:val="28"/>
              </w:rPr>
            </w:pPr>
          </w:p>
        </w:tc>
        <w:tc>
          <w:tcPr>
            <w:tcW w:w="1738" w:type="dxa"/>
            <w:noWrap w:val="0"/>
            <w:vAlign w:val="center"/>
          </w:tcPr>
          <w:p>
            <w:pPr>
              <w:spacing w:line="276" w:lineRule="auto"/>
              <w:jc w:val="center"/>
              <w:rPr>
                <w:rFonts w:hint="eastAsia"/>
                <w:color w:val="000000"/>
                <w:sz w:val="26"/>
                <w:szCs w:val="26"/>
              </w:rPr>
            </w:pPr>
            <w:r>
              <w:rPr>
                <w:rFonts w:hint="eastAsia"/>
                <w:sz w:val="26"/>
                <w:szCs w:val="26"/>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1591" w:type="dxa"/>
            <w:noWrap w:val="0"/>
            <w:vAlign w:val="center"/>
          </w:tcPr>
          <w:p>
            <w:pPr>
              <w:spacing w:line="360" w:lineRule="auto"/>
              <w:ind w:left="240" w:hanging="240" w:hangingChars="100"/>
              <w:jc w:val="center"/>
              <w:rPr>
                <w:rFonts w:hint="eastAsia"/>
                <w:color w:val="000000"/>
                <w:sz w:val="24"/>
              </w:rPr>
            </w:pPr>
            <w:r>
              <w:rPr>
                <w:rFonts w:hint="eastAsia"/>
                <w:sz w:val="24"/>
              </w:rPr>
              <w:t>1.1-6</w:t>
            </w:r>
          </w:p>
        </w:tc>
        <w:tc>
          <w:tcPr>
            <w:tcW w:w="6558" w:type="dxa"/>
            <w:gridSpan w:val="3"/>
            <w:noWrap w:val="0"/>
            <w:vAlign w:val="center"/>
          </w:tcPr>
          <w:p>
            <w:pPr>
              <w:spacing w:line="500" w:lineRule="exact"/>
              <w:rPr>
                <w:rFonts w:hint="eastAsia" w:ascii="楷体_GB2312" w:eastAsia="楷体_GB2312"/>
                <w:sz w:val="28"/>
                <w:szCs w:val="28"/>
              </w:rPr>
            </w:pPr>
          </w:p>
        </w:tc>
        <w:tc>
          <w:tcPr>
            <w:tcW w:w="1738" w:type="dxa"/>
            <w:noWrap w:val="0"/>
            <w:vAlign w:val="center"/>
          </w:tcPr>
          <w:p>
            <w:pPr>
              <w:spacing w:line="276" w:lineRule="auto"/>
              <w:jc w:val="center"/>
              <w:rPr>
                <w:rFonts w:hint="eastAsia"/>
                <w:color w:val="000000"/>
                <w:sz w:val="26"/>
                <w:szCs w:val="26"/>
              </w:rPr>
            </w:pPr>
            <w:r>
              <w:rPr>
                <w:rFonts w:hint="eastAsia"/>
                <w:sz w:val="26"/>
                <w:szCs w:val="26"/>
              </w:rPr>
              <w:t>1.1</w:t>
            </w:r>
          </w:p>
        </w:tc>
      </w:tr>
    </w:tbl>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3" w:firstLineChars="200"/>
        <w:jc w:val="both"/>
        <w:textAlignment w:val="auto"/>
        <w:rPr>
          <w:rFonts w:hint="default" w:ascii="仿宋_GB2312" w:hAnsi="仿宋_GB2312" w:eastAsia="仿宋_GB2312" w:cs="仿宋_GB2312"/>
          <w:b/>
          <w:bCs/>
          <w:sz w:val="32"/>
          <w:szCs w:val="32"/>
          <w:lang w:val="en-US" w:eastAsia="zh-CN"/>
        </w:rPr>
      </w:pPr>
    </w:p>
    <w:p>
      <w:pPr>
        <w:pStyle w:val="3"/>
        <w:keepNext w:val="0"/>
        <w:keepLines w:val="0"/>
        <w:widowControl/>
        <w:suppressLineNumbers w:val="0"/>
        <w:shd w:val="clear" w:fill="FFFFFF"/>
        <w:spacing w:line="555" w:lineRule="atLeast"/>
        <w:ind w:left="0" w:firstLine="645"/>
        <w:rPr>
          <w:rFonts w:hint="eastAsia" w:ascii="仿宋" w:hAnsi="仿宋" w:eastAsia="仿宋" w:cs="仿宋"/>
          <w:i w:val="0"/>
          <w:iCs w:val="0"/>
          <w:caps w:val="0"/>
          <w:color w:val="000000"/>
          <w:spacing w:val="0"/>
          <w:sz w:val="31"/>
          <w:szCs w:val="31"/>
          <w:shd w:val="clear" w:fill="FFFFFF"/>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9CD48A-5FFA-4762-917F-00792AEE70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094AD8B-EA41-4EA6-9D4C-EBA2840D5D4B}"/>
  </w:font>
  <w:font w:name="方正小标宋_GBK">
    <w:panose1 w:val="02000000000000000000"/>
    <w:charset w:val="86"/>
    <w:family w:val="auto"/>
    <w:pitch w:val="default"/>
    <w:sig w:usb0="A00002BF" w:usb1="38CF7CFA" w:usb2="00082016" w:usb3="00000000" w:csb0="00040001" w:csb1="00000000"/>
    <w:embedRegular r:id="rId3" w:fontKey="{3546DDE2-19BC-4F96-BCF9-D8E81553839D}"/>
  </w:font>
  <w:font w:name="仿宋_GB2312">
    <w:panose1 w:val="02010609030101010101"/>
    <w:charset w:val="86"/>
    <w:family w:val="modern"/>
    <w:pitch w:val="default"/>
    <w:sig w:usb0="00000001" w:usb1="080E0000" w:usb2="00000000" w:usb3="00000000" w:csb0="00040000" w:csb1="00000000"/>
    <w:embedRegular r:id="rId4" w:fontKey="{A8DE91B6-7CAC-4045-BE8F-C8F15B492193}"/>
  </w:font>
  <w:font w:name="仿宋">
    <w:panose1 w:val="02010609060101010101"/>
    <w:charset w:val="86"/>
    <w:family w:val="auto"/>
    <w:pitch w:val="default"/>
    <w:sig w:usb0="800002BF" w:usb1="38CF7CFA" w:usb2="00000016" w:usb3="00000000" w:csb0="00040001" w:csb1="00000000"/>
    <w:embedRegular r:id="rId5" w:fontKey="{155D170F-9918-416A-9F60-26C3DD803391}"/>
  </w:font>
  <w:font w:name="方正小标宋简体">
    <w:panose1 w:val="03000509000000000000"/>
    <w:charset w:val="86"/>
    <w:family w:val="auto"/>
    <w:pitch w:val="default"/>
    <w:sig w:usb0="00000001" w:usb1="080E0000" w:usb2="00000000" w:usb3="00000000" w:csb0="00040000" w:csb1="00000000"/>
    <w:embedRegular r:id="rId6" w:fontKey="{9E46E068-EFD3-48F5-B549-188192769C3D}"/>
  </w:font>
  <w:font w:name="楷体_GB2312">
    <w:panose1 w:val="02010609030101010101"/>
    <w:charset w:val="86"/>
    <w:family w:val="auto"/>
    <w:pitch w:val="default"/>
    <w:sig w:usb0="00000001" w:usb1="080E0000" w:usb2="00000000" w:usb3="00000000" w:csb0="00040000" w:csb1="00000000"/>
    <w:embedRegular r:id="rId7" w:fontKey="{1EAD76F3-0091-4F8B-BF8D-900C8B858298}"/>
  </w:font>
  <w:font w:name="微软雅黑">
    <w:panose1 w:val="020B0503020204020204"/>
    <w:charset w:val="86"/>
    <w:family w:val="auto"/>
    <w:pitch w:val="default"/>
    <w:sig w:usb0="80000287" w:usb1="280F3C52" w:usb2="00000016" w:usb3="00000000" w:csb0="0004001F" w:csb1="00000000"/>
    <w:embedRegular r:id="rId8" w:fontKey="{BAD97FA2-560E-401F-A8C7-87C06432C158}"/>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mRiYWRmODU3MDBhMDA0OTZjNjg2YTFjYzU4MjQifQ=="/>
  </w:docVars>
  <w:rsids>
    <w:rsidRoot w:val="064A703F"/>
    <w:rsid w:val="05F603CB"/>
    <w:rsid w:val="064A703F"/>
    <w:rsid w:val="0ACB7D10"/>
    <w:rsid w:val="0B4032B1"/>
    <w:rsid w:val="1424004C"/>
    <w:rsid w:val="18574EB7"/>
    <w:rsid w:val="1A4F216D"/>
    <w:rsid w:val="1D824B04"/>
    <w:rsid w:val="208A333F"/>
    <w:rsid w:val="23E1096B"/>
    <w:rsid w:val="28C15A60"/>
    <w:rsid w:val="33614B93"/>
    <w:rsid w:val="33F3073F"/>
    <w:rsid w:val="3CF85DDC"/>
    <w:rsid w:val="3D2C3959"/>
    <w:rsid w:val="47034AE9"/>
    <w:rsid w:val="4FD620C2"/>
    <w:rsid w:val="57E62982"/>
    <w:rsid w:val="59C4296E"/>
    <w:rsid w:val="5ADC6BE8"/>
    <w:rsid w:val="5B0E6A15"/>
    <w:rsid w:val="5BCF73DC"/>
    <w:rsid w:val="605646B3"/>
    <w:rsid w:val="61B3598B"/>
    <w:rsid w:val="62032D41"/>
    <w:rsid w:val="68927800"/>
    <w:rsid w:val="6D763389"/>
    <w:rsid w:val="6E1B3176"/>
    <w:rsid w:val="75F71FF5"/>
    <w:rsid w:val="7A233A46"/>
    <w:rsid w:val="7A6D3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7660</Words>
  <Characters>7800</Characters>
  <Lines>0</Lines>
  <Paragraphs>0</Paragraphs>
  <TotalTime>0</TotalTime>
  <ScaleCrop>false</ScaleCrop>
  <LinksUpToDate>false</LinksUpToDate>
  <CharactersWithSpaces>7926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2023-02-27T08:28:00Z</dcterms:created>
  <dc:creator>史柳萍</dc:creator>
  <cp:lastModifiedBy>史柳萍</cp:lastModifiedBy>
  <dcterms:modified xsi:type="dcterms:W3CDTF">2023-03-02T06:18:56Z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D92F128B18514CFDBF0B8F11D4B5F7B3</vt:lpwstr>
  </property>
</Properties>
</file>